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7BC05" w14:textId="463DE391" w:rsidR="00075D37" w:rsidRPr="00075D37" w:rsidRDefault="00075D37" w:rsidP="00075D37">
      <w:pPr>
        <w:rPr>
          <w:b/>
          <w:bCs/>
          <w:sz w:val="20"/>
          <w:szCs w:val="20"/>
        </w:rPr>
      </w:pPr>
      <w:r w:rsidRPr="00075D37">
        <w:rPr>
          <w:b/>
          <w:bCs/>
          <w:sz w:val="20"/>
          <w:szCs w:val="20"/>
        </w:rPr>
        <w:t xml:space="preserve">Common challenges — Product Solution Architect working with </w:t>
      </w:r>
      <w:r w:rsidRPr="00C76BC1">
        <w:rPr>
          <w:b/>
          <w:bCs/>
          <w:sz w:val="20"/>
          <w:szCs w:val="20"/>
        </w:rPr>
        <w:t>Healthcare Client</w:t>
      </w:r>
      <w:r w:rsidRPr="00075D37">
        <w:rPr>
          <w:b/>
          <w:bCs/>
          <w:sz w:val="20"/>
          <w:szCs w:val="20"/>
        </w:rPr>
        <w:t xml:space="preserve"> on a multi–product-line initiative</w:t>
      </w:r>
    </w:p>
    <w:p w14:paraId="76B4F6D0" w14:textId="7CBAE162" w:rsidR="00075D37" w:rsidRPr="00075D37" w:rsidRDefault="00075D37" w:rsidP="00075D37">
      <w:pPr>
        <w:rPr>
          <w:sz w:val="20"/>
          <w:szCs w:val="20"/>
        </w:rPr>
      </w:pPr>
      <w:r w:rsidRPr="00075D37">
        <w:rPr>
          <w:sz w:val="20"/>
          <w:szCs w:val="20"/>
        </w:rPr>
        <w:t xml:space="preserve">Below are the realistic, high-impact challenges you’ll hit (practical mitigation notes included).  </w:t>
      </w:r>
      <w:r w:rsidRPr="00C76BC1">
        <w:rPr>
          <w:sz w:val="20"/>
          <w:szCs w:val="20"/>
        </w:rPr>
        <w:t>Issues that are</w:t>
      </w:r>
      <w:r w:rsidRPr="00075D37">
        <w:rPr>
          <w:sz w:val="20"/>
          <w:szCs w:val="20"/>
        </w:rPr>
        <w:t xml:space="preserve"> specific to large integrated delivery networks like </w:t>
      </w:r>
      <w:r w:rsidRPr="00C76BC1">
        <w:rPr>
          <w:sz w:val="20"/>
          <w:szCs w:val="20"/>
        </w:rPr>
        <w:t xml:space="preserve">Healthcare Client </w:t>
      </w:r>
      <w:r w:rsidRPr="00075D37">
        <w:rPr>
          <w:sz w:val="20"/>
          <w:szCs w:val="20"/>
        </w:rPr>
        <w:t>and to multi-product programs (EHR, digital apps, payment, operations, analytics).</w:t>
      </w:r>
    </w:p>
    <w:p w14:paraId="176D7217" w14:textId="77777777" w:rsidR="00075D37" w:rsidRPr="00075D37" w:rsidRDefault="00075D37" w:rsidP="00075D37">
      <w:pPr>
        <w:rPr>
          <w:sz w:val="20"/>
          <w:szCs w:val="20"/>
        </w:rPr>
      </w:pPr>
      <w:r w:rsidRPr="00075D37">
        <w:rPr>
          <w:sz w:val="20"/>
          <w:szCs w:val="20"/>
        </w:rPr>
        <w:pict w14:anchorId="4DED95D7">
          <v:rect id="_x0000_i1037" style="width:0;height:1.5pt" o:hralign="center" o:hrstd="t" o:hr="t" fillcolor="#a0a0a0" stroked="f"/>
        </w:pict>
      </w:r>
    </w:p>
    <w:p w14:paraId="5CBE9ED1" w14:textId="77777777" w:rsidR="00075D37" w:rsidRPr="00075D37" w:rsidRDefault="00075D37" w:rsidP="00075D37">
      <w:pPr>
        <w:rPr>
          <w:b/>
          <w:bCs/>
          <w:sz w:val="20"/>
          <w:szCs w:val="20"/>
        </w:rPr>
      </w:pPr>
      <w:r w:rsidRPr="00075D37">
        <w:rPr>
          <w:b/>
          <w:bCs/>
          <w:sz w:val="20"/>
          <w:szCs w:val="20"/>
        </w:rPr>
        <w:t>1) Complex organizational structure &amp; aligned incentives</w:t>
      </w:r>
    </w:p>
    <w:p w14:paraId="17DF9630" w14:textId="28655A4C" w:rsidR="00075D37" w:rsidRPr="00075D37" w:rsidRDefault="00075D37" w:rsidP="00075D37">
      <w:pPr>
        <w:rPr>
          <w:sz w:val="20"/>
          <w:szCs w:val="20"/>
        </w:rPr>
      </w:pPr>
      <w:r w:rsidRPr="00C76BC1">
        <w:rPr>
          <w:sz w:val="20"/>
          <w:szCs w:val="20"/>
        </w:rPr>
        <w:t>Healthcare</w:t>
      </w:r>
      <w:r w:rsidRPr="00075D37">
        <w:rPr>
          <w:sz w:val="20"/>
          <w:szCs w:val="20"/>
        </w:rPr>
        <w:t xml:space="preserve"> is a tightly integrated delivery network (health plan + hospitals + physician groups), so decisions must satisfy different legal entities, regional operations and clinical groups — each has its own goals, KPIs and budget cycles. This makes enterprise decisions slower and requires political mapping up front. </w:t>
      </w:r>
      <w:r w:rsidRPr="00075D37">
        <w:rPr>
          <w:sz w:val="20"/>
          <w:szCs w:val="20"/>
        </w:rPr>
        <w:br/>
      </w:r>
      <w:r w:rsidRPr="00075D37">
        <w:rPr>
          <w:b/>
          <w:bCs/>
          <w:sz w:val="20"/>
          <w:szCs w:val="20"/>
        </w:rPr>
        <w:t>Mitigation:</w:t>
      </w:r>
      <w:r w:rsidRPr="00075D37">
        <w:rPr>
          <w:sz w:val="20"/>
          <w:szCs w:val="20"/>
        </w:rPr>
        <w:t xml:space="preserve"> build a stakeholder matrix, map decision rights, and design product roadmaps tied to clear KPIs for each entity.</w:t>
      </w:r>
    </w:p>
    <w:p w14:paraId="7791763E" w14:textId="77777777" w:rsidR="00075D37" w:rsidRPr="00075D37" w:rsidRDefault="00075D37" w:rsidP="00075D37">
      <w:pPr>
        <w:rPr>
          <w:b/>
          <w:bCs/>
          <w:sz w:val="20"/>
          <w:szCs w:val="20"/>
        </w:rPr>
      </w:pPr>
      <w:r w:rsidRPr="00075D37">
        <w:rPr>
          <w:b/>
          <w:bCs/>
          <w:sz w:val="20"/>
          <w:szCs w:val="20"/>
        </w:rPr>
        <w:t>2) EHR / core system constraints and legacy coupling</w:t>
      </w:r>
    </w:p>
    <w:p w14:paraId="22721B51" w14:textId="77777777" w:rsidR="00075D37" w:rsidRPr="00075D37" w:rsidRDefault="00075D37" w:rsidP="00075D37">
      <w:pPr>
        <w:rPr>
          <w:sz w:val="20"/>
          <w:szCs w:val="20"/>
        </w:rPr>
      </w:pPr>
      <w:r w:rsidRPr="00075D37">
        <w:rPr>
          <w:sz w:val="20"/>
          <w:szCs w:val="20"/>
        </w:rPr>
        <w:t xml:space="preserve">Large IDNs have entrenched clinical systems (Epic/other proprietary platforms, clinical data repositories) that are brittle to change and expose integration limits; major upgrades reveal broken workflows and require staged migration. </w:t>
      </w:r>
      <w:r w:rsidRPr="00075D37">
        <w:rPr>
          <w:sz w:val="20"/>
          <w:szCs w:val="20"/>
        </w:rPr>
        <w:br/>
      </w:r>
      <w:r w:rsidRPr="00075D37">
        <w:rPr>
          <w:b/>
          <w:bCs/>
          <w:sz w:val="20"/>
          <w:szCs w:val="20"/>
        </w:rPr>
        <w:t>Mitigation:</w:t>
      </w:r>
      <w:r w:rsidRPr="00075D37">
        <w:rPr>
          <w:sz w:val="20"/>
          <w:szCs w:val="20"/>
        </w:rPr>
        <w:t xml:space="preserve"> use </w:t>
      </w:r>
      <w:proofErr w:type="gramStart"/>
      <w:r w:rsidRPr="00075D37">
        <w:rPr>
          <w:sz w:val="20"/>
          <w:szCs w:val="20"/>
        </w:rPr>
        <w:t>façade</w:t>
      </w:r>
      <w:proofErr w:type="gramEnd"/>
      <w:r w:rsidRPr="00075D37">
        <w:rPr>
          <w:sz w:val="20"/>
          <w:szCs w:val="20"/>
        </w:rPr>
        <w:t>/strangler patterns, prioritize read-only vs write flows, prototype integration in a sandbox, and run parallel validation with clinicians.</w:t>
      </w:r>
    </w:p>
    <w:p w14:paraId="0E8EB065" w14:textId="77777777" w:rsidR="00075D37" w:rsidRPr="00075D37" w:rsidRDefault="00075D37" w:rsidP="00075D37">
      <w:pPr>
        <w:rPr>
          <w:b/>
          <w:bCs/>
          <w:sz w:val="20"/>
          <w:szCs w:val="20"/>
        </w:rPr>
      </w:pPr>
      <w:r w:rsidRPr="00075D37">
        <w:rPr>
          <w:b/>
          <w:bCs/>
          <w:sz w:val="20"/>
          <w:szCs w:val="20"/>
        </w:rPr>
        <w:t>3) Data interoperability, quality and semantics</w:t>
      </w:r>
    </w:p>
    <w:p w14:paraId="1311CE7D" w14:textId="77777777" w:rsidR="00075D37" w:rsidRPr="00075D37" w:rsidRDefault="00075D37" w:rsidP="00075D37">
      <w:pPr>
        <w:rPr>
          <w:sz w:val="20"/>
          <w:szCs w:val="20"/>
        </w:rPr>
      </w:pPr>
      <w:r w:rsidRPr="00075D37">
        <w:rPr>
          <w:sz w:val="20"/>
          <w:szCs w:val="20"/>
        </w:rPr>
        <w:t xml:space="preserve">Multiple product lines (telehealth, pharmacy, labs, claims, device data) create heterogenous data formats, inconsistent identifiers, and poor semantic alignment — clinical context can be lost, which undermines analytics and care workflows. Regulatory constraints make sharing more complex. </w:t>
      </w:r>
      <w:r w:rsidRPr="00075D37">
        <w:rPr>
          <w:sz w:val="20"/>
          <w:szCs w:val="20"/>
        </w:rPr>
        <w:br/>
      </w:r>
      <w:r w:rsidRPr="00075D37">
        <w:rPr>
          <w:b/>
          <w:bCs/>
          <w:sz w:val="20"/>
          <w:szCs w:val="20"/>
        </w:rPr>
        <w:t>Mitigation:</w:t>
      </w:r>
      <w:r w:rsidRPr="00075D37">
        <w:rPr>
          <w:sz w:val="20"/>
          <w:szCs w:val="20"/>
        </w:rPr>
        <w:t xml:space="preserve"> define canonical data models, invest in an enterprise data mesh/semantic layer, and enforce provenance and lineage at ingestion.</w:t>
      </w:r>
    </w:p>
    <w:p w14:paraId="2D2B42F0" w14:textId="77777777" w:rsidR="00075D37" w:rsidRPr="00075D37" w:rsidRDefault="00075D37" w:rsidP="00075D37">
      <w:pPr>
        <w:rPr>
          <w:b/>
          <w:bCs/>
          <w:sz w:val="20"/>
          <w:szCs w:val="20"/>
        </w:rPr>
      </w:pPr>
      <w:r w:rsidRPr="00075D37">
        <w:rPr>
          <w:b/>
          <w:bCs/>
          <w:sz w:val="20"/>
          <w:szCs w:val="20"/>
        </w:rPr>
        <w:t>4) Security, privacy and regulatory (HIPAA, state rules) risk</w:t>
      </w:r>
    </w:p>
    <w:p w14:paraId="3C8CE59F" w14:textId="7151E795" w:rsidR="00075D37" w:rsidRPr="00075D37" w:rsidRDefault="00075D37" w:rsidP="00075D37">
      <w:pPr>
        <w:rPr>
          <w:sz w:val="20"/>
          <w:szCs w:val="20"/>
        </w:rPr>
      </w:pPr>
      <w:r w:rsidRPr="00075D37">
        <w:rPr>
          <w:sz w:val="20"/>
          <w:szCs w:val="20"/>
        </w:rPr>
        <w:t xml:space="preserve">Healthcare data and member privacy requirements are strict — design choices that speed delivery can increase compliance risk and liability. </w:t>
      </w:r>
      <w:r w:rsidRPr="00075D37">
        <w:rPr>
          <w:b/>
          <w:bCs/>
          <w:sz w:val="20"/>
          <w:szCs w:val="20"/>
        </w:rPr>
        <w:t>Encryption, access controls, auditability, and business associate agreements</w:t>
      </w:r>
      <w:r w:rsidRPr="00075D37">
        <w:rPr>
          <w:sz w:val="20"/>
          <w:szCs w:val="20"/>
        </w:rPr>
        <w:t xml:space="preserve"> matter. </w:t>
      </w:r>
      <w:r w:rsidRPr="00075D37">
        <w:rPr>
          <w:sz w:val="20"/>
          <w:szCs w:val="20"/>
        </w:rPr>
        <w:br/>
      </w:r>
      <w:r w:rsidRPr="00075D37">
        <w:rPr>
          <w:b/>
          <w:bCs/>
          <w:sz w:val="20"/>
          <w:szCs w:val="20"/>
        </w:rPr>
        <w:t>Mitigation:</w:t>
      </w:r>
      <w:r w:rsidRPr="00075D37">
        <w:rPr>
          <w:sz w:val="20"/>
          <w:szCs w:val="20"/>
        </w:rPr>
        <w:t xml:space="preserve"> embed InfoSec / Privacy in your CI/CD pipeline (threat modeling, DLP, role-based access</w:t>
      </w:r>
      <w:proofErr w:type="gramStart"/>
      <w:r w:rsidRPr="00075D37">
        <w:rPr>
          <w:sz w:val="20"/>
          <w:szCs w:val="20"/>
        </w:rPr>
        <w:t>), and</w:t>
      </w:r>
      <w:proofErr w:type="gramEnd"/>
      <w:r w:rsidRPr="00075D37">
        <w:rPr>
          <w:sz w:val="20"/>
          <w:szCs w:val="20"/>
        </w:rPr>
        <w:t xml:space="preserve"> require ADRs documenting trade-offs.</w:t>
      </w:r>
    </w:p>
    <w:p w14:paraId="5FDF78F2" w14:textId="77777777" w:rsidR="00075D37" w:rsidRPr="00075D37" w:rsidRDefault="00075D37" w:rsidP="00075D37">
      <w:pPr>
        <w:rPr>
          <w:b/>
          <w:bCs/>
          <w:sz w:val="20"/>
          <w:szCs w:val="20"/>
        </w:rPr>
      </w:pPr>
      <w:r w:rsidRPr="00075D37">
        <w:rPr>
          <w:b/>
          <w:bCs/>
          <w:sz w:val="20"/>
          <w:szCs w:val="20"/>
        </w:rPr>
        <w:t>5) Availability, resilience and operational continuity</w:t>
      </w:r>
    </w:p>
    <w:p w14:paraId="1B2FC6D7" w14:textId="77777777" w:rsidR="00075D37" w:rsidRDefault="00075D37" w:rsidP="00075D37">
      <w:pPr>
        <w:rPr>
          <w:sz w:val="20"/>
          <w:szCs w:val="20"/>
        </w:rPr>
      </w:pPr>
      <w:r w:rsidRPr="00075D37">
        <w:rPr>
          <w:sz w:val="20"/>
          <w:szCs w:val="20"/>
        </w:rPr>
        <w:t xml:space="preserve">System outages at scale (network/data-center incidents) can knock out e-visits, pharmacy, billing and access to records — causing patient safety and reputational damage. Recent KP outages highlight this risk. </w:t>
      </w:r>
      <w:r w:rsidRPr="00075D37">
        <w:rPr>
          <w:sz w:val="20"/>
          <w:szCs w:val="20"/>
        </w:rPr>
        <w:br/>
      </w:r>
      <w:r w:rsidRPr="00075D37">
        <w:rPr>
          <w:b/>
          <w:bCs/>
          <w:sz w:val="20"/>
          <w:szCs w:val="20"/>
        </w:rPr>
        <w:t>Mitigation:</w:t>
      </w:r>
      <w:r w:rsidRPr="00075D37">
        <w:rPr>
          <w:sz w:val="20"/>
          <w:szCs w:val="20"/>
        </w:rPr>
        <w:t xml:space="preserve"> design for graceful degradation, run tabletop exercises, implement multi-AZ/edge failover, and explicit manual fallbacks for clinical flows.</w:t>
      </w:r>
    </w:p>
    <w:p w14:paraId="2F5F5E46" w14:textId="77777777" w:rsidR="00C76BC1" w:rsidRDefault="00C76BC1" w:rsidP="00075D37">
      <w:pPr>
        <w:rPr>
          <w:sz w:val="20"/>
          <w:szCs w:val="20"/>
        </w:rPr>
      </w:pPr>
    </w:p>
    <w:p w14:paraId="24B45DE6" w14:textId="77777777" w:rsidR="00C76BC1" w:rsidRPr="00075D37" w:rsidRDefault="00C76BC1" w:rsidP="00075D37">
      <w:pPr>
        <w:rPr>
          <w:sz w:val="20"/>
          <w:szCs w:val="20"/>
        </w:rPr>
      </w:pPr>
    </w:p>
    <w:p w14:paraId="12EBE14D" w14:textId="77777777" w:rsidR="00075D37" w:rsidRPr="00075D37" w:rsidRDefault="00075D37" w:rsidP="00075D37">
      <w:pPr>
        <w:rPr>
          <w:b/>
          <w:bCs/>
          <w:sz w:val="20"/>
          <w:szCs w:val="20"/>
        </w:rPr>
      </w:pPr>
      <w:r w:rsidRPr="00075D37">
        <w:rPr>
          <w:b/>
          <w:bCs/>
          <w:sz w:val="20"/>
          <w:szCs w:val="20"/>
        </w:rPr>
        <w:lastRenderedPageBreak/>
        <w:t>6) Clinical workflow adoption &amp; clinician burnout</w:t>
      </w:r>
    </w:p>
    <w:p w14:paraId="7E2F0D7A" w14:textId="77777777" w:rsidR="00075D37" w:rsidRPr="00075D37" w:rsidRDefault="00075D37" w:rsidP="00075D37">
      <w:pPr>
        <w:rPr>
          <w:sz w:val="20"/>
          <w:szCs w:val="20"/>
        </w:rPr>
      </w:pPr>
      <w:r w:rsidRPr="00075D37">
        <w:rPr>
          <w:sz w:val="20"/>
          <w:szCs w:val="20"/>
        </w:rPr>
        <w:t xml:space="preserve">Clinicians will reject workflows that increase clicks or duplicate documentation. Large orgs also face </w:t>
      </w:r>
      <w:proofErr w:type="gramStart"/>
      <w:r w:rsidRPr="00075D37">
        <w:rPr>
          <w:sz w:val="20"/>
          <w:szCs w:val="20"/>
        </w:rPr>
        <w:t>staffing</w:t>
      </w:r>
      <w:proofErr w:type="gramEnd"/>
      <w:r w:rsidRPr="00075D37">
        <w:rPr>
          <w:sz w:val="20"/>
          <w:szCs w:val="20"/>
        </w:rPr>
        <w:t xml:space="preserve"> pressures and </w:t>
      </w:r>
      <w:proofErr w:type="gramStart"/>
      <w:r w:rsidRPr="00075D37">
        <w:rPr>
          <w:sz w:val="20"/>
          <w:szCs w:val="20"/>
        </w:rPr>
        <w:t>strikes</w:t>
      </w:r>
      <w:proofErr w:type="gramEnd"/>
      <w:r w:rsidRPr="00075D37">
        <w:rPr>
          <w:sz w:val="20"/>
          <w:szCs w:val="20"/>
        </w:rPr>
        <w:t xml:space="preserve"> that affect rollout and capacity. Worker unrest/staffing shortages constrain what product teams can reasonably expect operationally. </w:t>
      </w:r>
      <w:r w:rsidRPr="00075D37">
        <w:rPr>
          <w:sz w:val="20"/>
          <w:szCs w:val="20"/>
        </w:rPr>
        <w:br/>
      </w:r>
      <w:r w:rsidRPr="00075D37">
        <w:rPr>
          <w:b/>
          <w:bCs/>
          <w:sz w:val="20"/>
          <w:szCs w:val="20"/>
        </w:rPr>
        <w:t>Mitigation:</w:t>
      </w:r>
      <w:r w:rsidRPr="00075D37">
        <w:rPr>
          <w:sz w:val="20"/>
          <w:szCs w:val="20"/>
        </w:rPr>
        <w:t xml:space="preserve"> co-design with clinicians, measure time-saved per task, and pilot in small cohorts with rapid feedback cycles.</w:t>
      </w:r>
    </w:p>
    <w:p w14:paraId="6E24FE99" w14:textId="77777777" w:rsidR="00075D37" w:rsidRPr="00075D37" w:rsidRDefault="00075D37" w:rsidP="00075D37">
      <w:pPr>
        <w:rPr>
          <w:b/>
          <w:bCs/>
          <w:sz w:val="20"/>
          <w:szCs w:val="20"/>
        </w:rPr>
      </w:pPr>
      <w:r w:rsidRPr="00075D37">
        <w:rPr>
          <w:b/>
          <w:bCs/>
          <w:sz w:val="20"/>
          <w:szCs w:val="20"/>
        </w:rPr>
        <w:t>7) Multiple product lines → competing roadmaps &amp; resource contention</w:t>
      </w:r>
    </w:p>
    <w:p w14:paraId="1C482866" w14:textId="77777777" w:rsidR="00075D37" w:rsidRPr="00075D37" w:rsidRDefault="00075D37" w:rsidP="00075D37">
      <w:pPr>
        <w:rPr>
          <w:sz w:val="20"/>
          <w:szCs w:val="20"/>
        </w:rPr>
      </w:pPr>
      <w:r w:rsidRPr="00075D37">
        <w:rPr>
          <w:sz w:val="20"/>
          <w:szCs w:val="20"/>
        </w:rPr>
        <w:t>Different product owners will compete for shared platform capabilities (APIs, identity, data pipelines). Without a governance model you get duplicated engineering and integration debt.</w:t>
      </w:r>
      <w:r w:rsidRPr="00075D37">
        <w:rPr>
          <w:sz w:val="20"/>
          <w:szCs w:val="20"/>
        </w:rPr>
        <w:br/>
      </w:r>
      <w:r w:rsidRPr="00075D37">
        <w:rPr>
          <w:b/>
          <w:bCs/>
          <w:sz w:val="20"/>
          <w:szCs w:val="20"/>
        </w:rPr>
        <w:t>Mitigation:</w:t>
      </w:r>
      <w:r w:rsidRPr="00075D37">
        <w:rPr>
          <w:sz w:val="20"/>
          <w:szCs w:val="20"/>
        </w:rPr>
        <w:t xml:space="preserve"> create a product platform council, chargeback model for shared services, and a prioritized API/feature backlog.</w:t>
      </w:r>
    </w:p>
    <w:p w14:paraId="17428B6D" w14:textId="77777777" w:rsidR="00075D37" w:rsidRPr="00075D37" w:rsidRDefault="00075D37" w:rsidP="00075D37">
      <w:pPr>
        <w:rPr>
          <w:b/>
          <w:bCs/>
          <w:sz w:val="20"/>
          <w:szCs w:val="20"/>
        </w:rPr>
      </w:pPr>
      <w:r w:rsidRPr="00075D37">
        <w:rPr>
          <w:b/>
          <w:bCs/>
          <w:sz w:val="20"/>
          <w:szCs w:val="20"/>
        </w:rPr>
        <w:t>8) Vendor/ecosystem lock-in &amp; procurement constraints</w:t>
      </w:r>
    </w:p>
    <w:p w14:paraId="6EEB9B2D" w14:textId="77777777" w:rsidR="00075D37" w:rsidRPr="00075D37" w:rsidRDefault="00075D37" w:rsidP="00075D37">
      <w:pPr>
        <w:rPr>
          <w:sz w:val="20"/>
          <w:szCs w:val="20"/>
        </w:rPr>
      </w:pPr>
      <w:r w:rsidRPr="00075D37">
        <w:rPr>
          <w:sz w:val="20"/>
          <w:szCs w:val="20"/>
        </w:rPr>
        <w:t>Epic, major device vendors, analytics and telehealth vendors impose contract and technical constraints that limit architecture choices and timelines.</w:t>
      </w:r>
      <w:r w:rsidRPr="00075D37">
        <w:rPr>
          <w:sz w:val="20"/>
          <w:szCs w:val="20"/>
        </w:rPr>
        <w:br/>
      </w:r>
      <w:r w:rsidRPr="00075D37">
        <w:rPr>
          <w:b/>
          <w:bCs/>
          <w:sz w:val="20"/>
          <w:szCs w:val="20"/>
        </w:rPr>
        <w:t>Mitigation:</w:t>
      </w:r>
      <w:r w:rsidRPr="00075D37">
        <w:rPr>
          <w:sz w:val="20"/>
          <w:szCs w:val="20"/>
        </w:rPr>
        <w:t xml:space="preserve"> negotiate common data exchange modes in contracts, require open APIs where possible, and build thin integration layers to reduce downstream rework.</w:t>
      </w:r>
    </w:p>
    <w:p w14:paraId="5FAD1198" w14:textId="77777777" w:rsidR="00075D37" w:rsidRPr="00075D37" w:rsidRDefault="00075D37" w:rsidP="00075D37">
      <w:pPr>
        <w:rPr>
          <w:b/>
          <w:bCs/>
          <w:sz w:val="20"/>
          <w:szCs w:val="20"/>
        </w:rPr>
      </w:pPr>
      <w:r w:rsidRPr="00075D37">
        <w:rPr>
          <w:b/>
          <w:bCs/>
          <w:sz w:val="20"/>
          <w:szCs w:val="20"/>
        </w:rPr>
        <w:t>9) Scalability &amp; performance for high concurrency clinical spikes</w:t>
      </w:r>
    </w:p>
    <w:p w14:paraId="2F8498F2" w14:textId="31A06510" w:rsidR="00C76BC1" w:rsidRPr="00075D37" w:rsidRDefault="00075D37" w:rsidP="00075D37">
      <w:pPr>
        <w:rPr>
          <w:sz w:val="20"/>
          <w:szCs w:val="20"/>
        </w:rPr>
      </w:pPr>
      <w:r w:rsidRPr="00075D37">
        <w:rPr>
          <w:sz w:val="20"/>
          <w:szCs w:val="20"/>
        </w:rPr>
        <w:t>Certain product lines (telehealth, immunizations, e-visits) can have usage spikes; performance engineering must account for seasonal and event-driven peaks.</w:t>
      </w:r>
      <w:r w:rsidRPr="00075D37">
        <w:rPr>
          <w:sz w:val="20"/>
          <w:szCs w:val="20"/>
        </w:rPr>
        <w:br/>
      </w:r>
      <w:r w:rsidRPr="00075D37">
        <w:rPr>
          <w:b/>
          <w:bCs/>
          <w:sz w:val="20"/>
          <w:szCs w:val="20"/>
        </w:rPr>
        <w:t>Mitigation:</w:t>
      </w:r>
      <w:r w:rsidRPr="00075D37">
        <w:rPr>
          <w:sz w:val="20"/>
          <w:szCs w:val="20"/>
        </w:rPr>
        <w:t xml:space="preserve"> capacity planning based on real KPIs, autoscaling patterns, and chaos testing in pre-prod.</w:t>
      </w:r>
    </w:p>
    <w:p w14:paraId="57C57F8C" w14:textId="77777777" w:rsidR="00075D37" w:rsidRPr="00075D37" w:rsidRDefault="00075D37" w:rsidP="00075D37">
      <w:pPr>
        <w:rPr>
          <w:b/>
          <w:bCs/>
          <w:sz w:val="20"/>
          <w:szCs w:val="20"/>
        </w:rPr>
      </w:pPr>
      <w:r w:rsidRPr="00075D37">
        <w:rPr>
          <w:b/>
          <w:bCs/>
          <w:sz w:val="20"/>
          <w:szCs w:val="20"/>
        </w:rPr>
        <w:t>10) Governance, auditing and traceability across product lines</w:t>
      </w:r>
    </w:p>
    <w:p w14:paraId="4EBAFC32" w14:textId="77777777" w:rsidR="00075D37" w:rsidRPr="00075D37" w:rsidRDefault="00075D37" w:rsidP="00075D37">
      <w:pPr>
        <w:rPr>
          <w:sz w:val="20"/>
          <w:szCs w:val="20"/>
        </w:rPr>
      </w:pPr>
      <w:r w:rsidRPr="00075D37">
        <w:rPr>
          <w:sz w:val="20"/>
          <w:szCs w:val="20"/>
        </w:rPr>
        <w:t>Multi-product initiatives need consistent ADRs, audit trails, and lifecycle governance (who owns fields, who can change models). Without it, downstream analytics and compliance break.</w:t>
      </w:r>
      <w:r w:rsidRPr="00075D37">
        <w:rPr>
          <w:sz w:val="20"/>
          <w:szCs w:val="20"/>
        </w:rPr>
        <w:br/>
      </w:r>
      <w:r w:rsidRPr="00075D37">
        <w:rPr>
          <w:b/>
          <w:bCs/>
          <w:sz w:val="20"/>
          <w:szCs w:val="20"/>
        </w:rPr>
        <w:t>Mitigation:</w:t>
      </w:r>
      <w:r w:rsidRPr="00075D37">
        <w:rPr>
          <w:sz w:val="20"/>
          <w:szCs w:val="20"/>
        </w:rPr>
        <w:t xml:space="preserve"> central ADR registry, data catalog, and mandatory change approvals for schema/contract changes.</w:t>
      </w:r>
    </w:p>
    <w:p w14:paraId="7669D7F0" w14:textId="77777777" w:rsidR="00075D37" w:rsidRPr="00075D37" w:rsidRDefault="00075D37" w:rsidP="00075D37">
      <w:pPr>
        <w:rPr>
          <w:b/>
          <w:bCs/>
          <w:sz w:val="20"/>
          <w:szCs w:val="20"/>
        </w:rPr>
      </w:pPr>
      <w:r w:rsidRPr="00075D37">
        <w:rPr>
          <w:b/>
          <w:bCs/>
          <w:sz w:val="20"/>
          <w:szCs w:val="20"/>
        </w:rPr>
        <w:t>11) Identity, consent &amp; patient matching</w:t>
      </w:r>
    </w:p>
    <w:p w14:paraId="558E00DB" w14:textId="77777777" w:rsidR="00075D37" w:rsidRPr="00075D37" w:rsidRDefault="00075D37" w:rsidP="00075D37">
      <w:pPr>
        <w:rPr>
          <w:sz w:val="20"/>
          <w:szCs w:val="20"/>
        </w:rPr>
      </w:pPr>
      <w:r w:rsidRPr="00075D37">
        <w:rPr>
          <w:sz w:val="20"/>
          <w:szCs w:val="20"/>
        </w:rPr>
        <w:t>Member identity across plan, provider and third-party services is thorny — poor matching leads to safety risks and incorrect records. Consent management for data sharing is also complex.</w:t>
      </w:r>
      <w:r w:rsidRPr="00075D37">
        <w:rPr>
          <w:sz w:val="20"/>
          <w:szCs w:val="20"/>
        </w:rPr>
        <w:br/>
      </w:r>
      <w:r w:rsidRPr="00075D37">
        <w:rPr>
          <w:b/>
          <w:bCs/>
          <w:sz w:val="20"/>
          <w:szCs w:val="20"/>
        </w:rPr>
        <w:t>Mitigation:</w:t>
      </w:r>
      <w:r w:rsidRPr="00075D37">
        <w:rPr>
          <w:sz w:val="20"/>
          <w:szCs w:val="20"/>
        </w:rPr>
        <w:t xml:space="preserve"> invest in a robust Master Patient Index (MPI), canonical identity service and consent management framework.</w:t>
      </w:r>
    </w:p>
    <w:p w14:paraId="43C3B656" w14:textId="77777777" w:rsidR="00075D37" w:rsidRPr="00075D37" w:rsidRDefault="00075D37" w:rsidP="00075D37">
      <w:pPr>
        <w:rPr>
          <w:b/>
          <w:bCs/>
          <w:sz w:val="20"/>
          <w:szCs w:val="20"/>
        </w:rPr>
      </w:pPr>
      <w:r w:rsidRPr="00075D37">
        <w:rPr>
          <w:b/>
          <w:bCs/>
          <w:sz w:val="20"/>
          <w:szCs w:val="20"/>
        </w:rPr>
        <w:t>12) Analytics adoption vs clinical interpretability</w:t>
      </w:r>
    </w:p>
    <w:p w14:paraId="4636E6D8" w14:textId="77777777" w:rsidR="00075D37" w:rsidRDefault="00075D37" w:rsidP="00075D37">
      <w:pPr>
        <w:rPr>
          <w:sz w:val="20"/>
          <w:szCs w:val="20"/>
        </w:rPr>
      </w:pPr>
      <w:r w:rsidRPr="00075D37">
        <w:rPr>
          <w:sz w:val="20"/>
          <w:szCs w:val="20"/>
        </w:rPr>
        <w:t xml:space="preserve">Clinicians need explainable predictions and transparent models; black-box analytics that don’t link to workflows get ignored. Institutional risk aversion to AI also affects timelines. </w:t>
      </w:r>
      <w:r w:rsidRPr="00075D37">
        <w:rPr>
          <w:sz w:val="20"/>
          <w:szCs w:val="20"/>
        </w:rPr>
        <w:br/>
      </w:r>
      <w:r w:rsidRPr="00075D37">
        <w:rPr>
          <w:b/>
          <w:bCs/>
          <w:sz w:val="20"/>
          <w:szCs w:val="20"/>
        </w:rPr>
        <w:t>Mitigation:</w:t>
      </w:r>
      <w:r w:rsidRPr="00075D37">
        <w:rPr>
          <w:sz w:val="20"/>
          <w:szCs w:val="20"/>
        </w:rPr>
        <w:t xml:space="preserve"> prioritize explainability, ship decision support that augments (not replaces) clinicians, and run validation studies.</w:t>
      </w:r>
    </w:p>
    <w:p w14:paraId="595722E3" w14:textId="77777777" w:rsidR="00C76BC1" w:rsidRDefault="00C76BC1" w:rsidP="00075D37">
      <w:pPr>
        <w:rPr>
          <w:sz w:val="20"/>
          <w:szCs w:val="20"/>
        </w:rPr>
      </w:pPr>
    </w:p>
    <w:p w14:paraId="491808AE" w14:textId="77777777" w:rsidR="00C76BC1" w:rsidRPr="00075D37" w:rsidRDefault="00C76BC1" w:rsidP="00075D37">
      <w:pPr>
        <w:rPr>
          <w:sz w:val="20"/>
          <w:szCs w:val="20"/>
        </w:rPr>
      </w:pPr>
    </w:p>
    <w:p w14:paraId="4342D1FF" w14:textId="77777777" w:rsidR="00075D37" w:rsidRPr="00075D37" w:rsidRDefault="00075D37" w:rsidP="00075D37">
      <w:pPr>
        <w:rPr>
          <w:b/>
          <w:bCs/>
          <w:sz w:val="20"/>
          <w:szCs w:val="20"/>
        </w:rPr>
      </w:pPr>
      <w:r w:rsidRPr="00075D37">
        <w:rPr>
          <w:b/>
          <w:bCs/>
          <w:sz w:val="20"/>
          <w:szCs w:val="20"/>
        </w:rPr>
        <w:lastRenderedPageBreak/>
        <w:t>13) Procurement, contracting cadence and budget cycles</w:t>
      </w:r>
    </w:p>
    <w:p w14:paraId="757F0231" w14:textId="77777777" w:rsidR="00075D37" w:rsidRPr="00075D37" w:rsidRDefault="00075D37" w:rsidP="00075D37">
      <w:pPr>
        <w:rPr>
          <w:sz w:val="20"/>
          <w:szCs w:val="20"/>
        </w:rPr>
      </w:pPr>
      <w:r w:rsidRPr="00075D37">
        <w:rPr>
          <w:sz w:val="20"/>
          <w:szCs w:val="20"/>
        </w:rPr>
        <w:t>Large health systems operate on annual budgets and procurement windows — this can force unnatural phasing or slow vendor onboarding.</w:t>
      </w:r>
      <w:r w:rsidRPr="00075D37">
        <w:rPr>
          <w:sz w:val="20"/>
          <w:szCs w:val="20"/>
        </w:rPr>
        <w:br/>
      </w:r>
      <w:r w:rsidRPr="00075D37">
        <w:rPr>
          <w:b/>
          <w:bCs/>
          <w:sz w:val="20"/>
          <w:szCs w:val="20"/>
        </w:rPr>
        <w:t>Mitigation:</w:t>
      </w:r>
      <w:r w:rsidRPr="00075D37">
        <w:rPr>
          <w:sz w:val="20"/>
          <w:szCs w:val="20"/>
        </w:rPr>
        <w:t xml:space="preserve"> align roadmap milestones to procurement cycles and maintain a small set of rapid-procure pilots.</w:t>
      </w:r>
    </w:p>
    <w:p w14:paraId="24841AD9" w14:textId="77777777" w:rsidR="00075D37" w:rsidRPr="00075D37" w:rsidRDefault="00075D37" w:rsidP="00075D37">
      <w:pPr>
        <w:rPr>
          <w:b/>
          <w:bCs/>
          <w:sz w:val="20"/>
          <w:szCs w:val="20"/>
        </w:rPr>
      </w:pPr>
      <w:r w:rsidRPr="00075D37">
        <w:rPr>
          <w:b/>
          <w:bCs/>
          <w:sz w:val="20"/>
          <w:szCs w:val="20"/>
        </w:rPr>
        <w:t>14) Cultural &amp; regional variability inside a national system</w:t>
      </w:r>
    </w:p>
    <w:p w14:paraId="7B06B2D9" w14:textId="77777777" w:rsidR="00075D37" w:rsidRPr="00075D37" w:rsidRDefault="00075D37" w:rsidP="00075D37">
      <w:pPr>
        <w:rPr>
          <w:sz w:val="20"/>
          <w:szCs w:val="20"/>
        </w:rPr>
      </w:pPr>
      <w:r w:rsidRPr="00075D37">
        <w:rPr>
          <w:sz w:val="20"/>
          <w:szCs w:val="20"/>
        </w:rPr>
        <w:t>A feature accepted in one region can fail in another (regulatory differences, patient demographics, language).</w:t>
      </w:r>
      <w:r w:rsidRPr="00075D37">
        <w:rPr>
          <w:sz w:val="20"/>
          <w:szCs w:val="20"/>
        </w:rPr>
        <w:br/>
      </w:r>
      <w:r w:rsidRPr="00075D37">
        <w:rPr>
          <w:b/>
          <w:bCs/>
          <w:sz w:val="20"/>
          <w:szCs w:val="20"/>
        </w:rPr>
        <w:t>Mitigation:</w:t>
      </w:r>
      <w:r w:rsidRPr="00075D37">
        <w:rPr>
          <w:sz w:val="20"/>
          <w:szCs w:val="20"/>
        </w:rPr>
        <w:t xml:space="preserve"> design configurable product lines and run regional pilots with local product champions.</w:t>
      </w:r>
    </w:p>
    <w:p w14:paraId="4B081BA1" w14:textId="77777777" w:rsidR="00075D37" w:rsidRPr="00075D37" w:rsidRDefault="00075D37" w:rsidP="00075D37">
      <w:pPr>
        <w:rPr>
          <w:sz w:val="20"/>
          <w:szCs w:val="20"/>
        </w:rPr>
      </w:pPr>
      <w:r w:rsidRPr="00075D37">
        <w:rPr>
          <w:sz w:val="20"/>
          <w:szCs w:val="20"/>
        </w:rPr>
        <w:pict w14:anchorId="2E9A478D">
          <v:rect id="_x0000_i1038" style="width:0;height:1.5pt" o:hralign="center" o:hrstd="t" o:hr="t" fillcolor="#a0a0a0" stroked="f"/>
        </w:pict>
      </w:r>
    </w:p>
    <w:p w14:paraId="1118BF71" w14:textId="77777777" w:rsidR="00075D37" w:rsidRPr="00075D37" w:rsidRDefault="00075D37" w:rsidP="00075D37">
      <w:pPr>
        <w:rPr>
          <w:b/>
          <w:bCs/>
          <w:sz w:val="20"/>
          <w:szCs w:val="20"/>
        </w:rPr>
      </w:pPr>
      <w:r w:rsidRPr="00075D37">
        <w:rPr>
          <w:b/>
          <w:bCs/>
          <w:sz w:val="20"/>
          <w:szCs w:val="20"/>
        </w:rPr>
        <w:t>Quick priority checklist (what I’d do first as a Product Solution Architect)</w:t>
      </w:r>
    </w:p>
    <w:p w14:paraId="7D74FE41" w14:textId="77777777" w:rsidR="00075D37" w:rsidRPr="00075D37" w:rsidRDefault="00075D37" w:rsidP="00075D37">
      <w:pPr>
        <w:numPr>
          <w:ilvl w:val="0"/>
          <w:numId w:val="1"/>
        </w:numPr>
        <w:rPr>
          <w:sz w:val="20"/>
          <w:szCs w:val="20"/>
        </w:rPr>
      </w:pPr>
      <w:r w:rsidRPr="00075D37">
        <w:rPr>
          <w:sz w:val="20"/>
          <w:szCs w:val="20"/>
        </w:rPr>
        <w:t>Stakeholder &amp; decision-rights mapping + alignment workshop.</w:t>
      </w:r>
    </w:p>
    <w:p w14:paraId="0C4B0A43" w14:textId="77777777" w:rsidR="00075D37" w:rsidRPr="00075D37" w:rsidRDefault="00075D37" w:rsidP="00075D37">
      <w:pPr>
        <w:numPr>
          <w:ilvl w:val="0"/>
          <w:numId w:val="1"/>
        </w:numPr>
        <w:rPr>
          <w:sz w:val="20"/>
          <w:szCs w:val="20"/>
        </w:rPr>
      </w:pPr>
      <w:r w:rsidRPr="00075D37">
        <w:rPr>
          <w:sz w:val="20"/>
          <w:szCs w:val="20"/>
        </w:rPr>
        <w:t>Technical discovery: EHR contracts, canonical data sources, and integration touchpoints.</w:t>
      </w:r>
    </w:p>
    <w:p w14:paraId="35D56F8D" w14:textId="77777777" w:rsidR="00075D37" w:rsidRPr="00075D37" w:rsidRDefault="00075D37" w:rsidP="00075D37">
      <w:pPr>
        <w:numPr>
          <w:ilvl w:val="0"/>
          <w:numId w:val="1"/>
        </w:numPr>
        <w:rPr>
          <w:sz w:val="20"/>
          <w:szCs w:val="20"/>
        </w:rPr>
      </w:pPr>
      <w:r w:rsidRPr="00075D37">
        <w:rPr>
          <w:sz w:val="20"/>
          <w:szCs w:val="20"/>
        </w:rPr>
        <w:t>Define minimal interoperable API contracts and an ADR for migration approach.</w:t>
      </w:r>
    </w:p>
    <w:p w14:paraId="58254B70" w14:textId="77777777" w:rsidR="00075D37" w:rsidRPr="00075D37" w:rsidRDefault="00075D37" w:rsidP="00075D37">
      <w:pPr>
        <w:numPr>
          <w:ilvl w:val="0"/>
          <w:numId w:val="1"/>
        </w:numPr>
        <w:rPr>
          <w:sz w:val="20"/>
          <w:szCs w:val="20"/>
        </w:rPr>
      </w:pPr>
      <w:r w:rsidRPr="00075D37">
        <w:rPr>
          <w:sz w:val="20"/>
          <w:szCs w:val="20"/>
        </w:rPr>
        <w:t>Run a safety/resilience assessment and a tabletop outage plan.</w:t>
      </w:r>
    </w:p>
    <w:p w14:paraId="692EA75E" w14:textId="31A93ADB" w:rsidR="00C90170" w:rsidRPr="00C76BC1" w:rsidRDefault="00075D37" w:rsidP="00075D37">
      <w:pPr>
        <w:numPr>
          <w:ilvl w:val="0"/>
          <w:numId w:val="1"/>
        </w:numPr>
        <w:rPr>
          <w:sz w:val="20"/>
          <w:szCs w:val="20"/>
        </w:rPr>
      </w:pPr>
      <w:r w:rsidRPr="00075D37">
        <w:rPr>
          <w:sz w:val="20"/>
          <w:szCs w:val="20"/>
        </w:rPr>
        <w:t>Ship a clinical pilot with clinician co-design and measurable OKRs.</w:t>
      </w:r>
    </w:p>
    <w:sectPr w:rsidR="00C90170" w:rsidRPr="00C76B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5521"/>
    <w:multiLevelType w:val="multilevel"/>
    <w:tmpl w:val="254C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04755"/>
    <w:multiLevelType w:val="multilevel"/>
    <w:tmpl w:val="87CE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00B7D"/>
    <w:multiLevelType w:val="multilevel"/>
    <w:tmpl w:val="D0803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9162AD"/>
    <w:multiLevelType w:val="multilevel"/>
    <w:tmpl w:val="984E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74230"/>
    <w:multiLevelType w:val="multilevel"/>
    <w:tmpl w:val="F190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50369"/>
    <w:multiLevelType w:val="multilevel"/>
    <w:tmpl w:val="1B46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444C4"/>
    <w:multiLevelType w:val="multilevel"/>
    <w:tmpl w:val="C9AC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B0270"/>
    <w:multiLevelType w:val="multilevel"/>
    <w:tmpl w:val="6FF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106BE"/>
    <w:multiLevelType w:val="multilevel"/>
    <w:tmpl w:val="D468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25D81"/>
    <w:multiLevelType w:val="multilevel"/>
    <w:tmpl w:val="EF72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711403"/>
    <w:multiLevelType w:val="multilevel"/>
    <w:tmpl w:val="DB583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E9408C"/>
    <w:multiLevelType w:val="multilevel"/>
    <w:tmpl w:val="E120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45CDE"/>
    <w:multiLevelType w:val="multilevel"/>
    <w:tmpl w:val="F4F6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061645"/>
    <w:multiLevelType w:val="multilevel"/>
    <w:tmpl w:val="F7C8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A77E48"/>
    <w:multiLevelType w:val="multilevel"/>
    <w:tmpl w:val="B218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3866BD"/>
    <w:multiLevelType w:val="multilevel"/>
    <w:tmpl w:val="798C5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FC2058"/>
    <w:multiLevelType w:val="multilevel"/>
    <w:tmpl w:val="313E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BA2667"/>
    <w:multiLevelType w:val="multilevel"/>
    <w:tmpl w:val="CE366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D717AA"/>
    <w:multiLevelType w:val="multilevel"/>
    <w:tmpl w:val="F026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010AC3"/>
    <w:multiLevelType w:val="multilevel"/>
    <w:tmpl w:val="FADC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876626">
    <w:abstractNumId w:val="2"/>
  </w:num>
  <w:num w:numId="2" w16cid:durableId="199780368">
    <w:abstractNumId w:val="15"/>
  </w:num>
  <w:num w:numId="3" w16cid:durableId="403452723">
    <w:abstractNumId w:val="18"/>
  </w:num>
  <w:num w:numId="4" w16cid:durableId="733970409">
    <w:abstractNumId w:val="12"/>
  </w:num>
  <w:num w:numId="5" w16cid:durableId="795295517">
    <w:abstractNumId w:val="9"/>
  </w:num>
  <w:num w:numId="6" w16cid:durableId="1428884479">
    <w:abstractNumId w:val="3"/>
  </w:num>
  <w:num w:numId="7" w16cid:durableId="1585146339">
    <w:abstractNumId w:val="14"/>
  </w:num>
  <w:num w:numId="8" w16cid:durableId="171770152">
    <w:abstractNumId w:val="19"/>
  </w:num>
  <w:num w:numId="9" w16cid:durableId="380442026">
    <w:abstractNumId w:val="1"/>
  </w:num>
  <w:num w:numId="10" w16cid:durableId="1937133211">
    <w:abstractNumId w:val="7"/>
  </w:num>
  <w:num w:numId="11" w16cid:durableId="173687002">
    <w:abstractNumId w:val="8"/>
  </w:num>
  <w:num w:numId="12" w16cid:durableId="669722066">
    <w:abstractNumId w:val="17"/>
  </w:num>
  <w:num w:numId="13" w16cid:durableId="780540022">
    <w:abstractNumId w:val="5"/>
  </w:num>
  <w:num w:numId="14" w16cid:durableId="82530351">
    <w:abstractNumId w:val="4"/>
  </w:num>
  <w:num w:numId="15" w16cid:durableId="966278740">
    <w:abstractNumId w:val="10"/>
  </w:num>
  <w:num w:numId="16" w16cid:durableId="930042037">
    <w:abstractNumId w:val="16"/>
  </w:num>
  <w:num w:numId="17" w16cid:durableId="630088782">
    <w:abstractNumId w:val="0"/>
  </w:num>
  <w:num w:numId="18" w16cid:durableId="926307664">
    <w:abstractNumId w:val="13"/>
  </w:num>
  <w:num w:numId="19" w16cid:durableId="1977952867">
    <w:abstractNumId w:val="6"/>
  </w:num>
  <w:num w:numId="20" w16cid:durableId="16623878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D37"/>
    <w:rsid w:val="00075D37"/>
    <w:rsid w:val="00793E62"/>
    <w:rsid w:val="007D3B33"/>
    <w:rsid w:val="00916B22"/>
    <w:rsid w:val="009C1ED3"/>
    <w:rsid w:val="00C76BC1"/>
    <w:rsid w:val="00C90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A4635"/>
  <w15:chartTrackingRefBased/>
  <w15:docId w15:val="{120A0F72-004A-4B41-8A14-1116CCBCE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D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D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D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D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933</Words>
  <Characters>5320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Vijayagopalan Raveendran</dc:creator>
  <cp:keywords/>
  <dc:description/>
  <cp:lastModifiedBy>Vijayagopalan Raveendran</cp:lastModifiedBy>
  <cp:revision>1</cp:revision>
  <dcterms:created xsi:type="dcterms:W3CDTF">2026-01-22T23:51:00Z</dcterms:created>
  <dcterms:modified xsi:type="dcterms:W3CDTF">2026-01-23T00:21:00Z</dcterms:modified>
</cp:coreProperties>
</file>