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ACORDO INDIVIDUAL PARA BANCO DE HORAS – MEDIDA PROVISÓRIA 927/2020</w:t>
      </w:r>
    </w:p>
    <w:p w:rsidR="00000000" w:rsidDel="00000000" w:rsidP="00000000" w:rsidRDefault="00000000" w:rsidRPr="00000000" w14:paraId="00000002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school["state”] }}</w:t>
      </w:r>
      <w:r w:rsidDel="00000000" w:rsidR="00000000" w:rsidRPr="00000000">
        <w:rPr>
          <w:rtl w:val="0"/>
        </w:rPr>
        <w:t xml:space="preserve">, por seu representante legal, doravante denominado </w:t>
      </w:r>
      <w:r w:rsidDel="00000000" w:rsidR="00000000" w:rsidRPr="00000000">
        <w:rPr>
          <w:b w:val="1"/>
          <w:rtl w:val="0"/>
        </w:rPr>
        <w:t xml:space="preserve">EMPRESA.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16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}},</w:t>
      </w:r>
      <w:r w:rsidDel="00000000" w:rsidR="00000000" w:rsidRPr="00000000">
        <w:rPr>
          <w:rtl w:val="0"/>
        </w:rPr>
        <w:t xml:space="preserve"> doravante denominado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160" w:before="160" w:line="300" w:lineRule="auto"/>
        <w:jc w:val="both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 </w:t>
      </w:r>
    </w:p>
    <w:p w:rsidR="00000000" w:rsidDel="00000000" w:rsidP="00000000" w:rsidRDefault="00000000" w:rsidRPr="00000000" w14:paraId="0000000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PRIMEIRA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VIGÊNCIA</w:t>
      </w:r>
    </w:p>
    <w:p w:rsidR="00000000" w:rsidDel="00000000" w:rsidP="00000000" w:rsidRDefault="00000000" w:rsidRPr="00000000" w14:paraId="0000000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(“Banco de Horas”) ora estabelecido entre as partes possuirá vigência a partir do dia 23 de março de 2020 até 18 (dezoito) meses contados da data de encerramento do estado de calamidade pública </w:t>
      </w:r>
      <w:r w:rsidDel="00000000" w:rsidR="00000000" w:rsidRPr="00000000">
        <w:rPr>
          <w:rtl w:val="0"/>
        </w:rPr>
        <w:t xml:space="preserve">declarado</w:t>
      </w:r>
      <w:r w:rsidDel="00000000" w:rsidR="00000000" w:rsidRPr="00000000">
        <w:rPr>
          <w:rtl w:val="0"/>
        </w:rPr>
        <w:t xml:space="preserve"> pelo Decreto Legislativo 6/2020.</w:t>
      </w:r>
    </w:p>
    <w:p w:rsidR="00000000" w:rsidDel="00000000" w:rsidP="00000000" w:rsidRDefault="00000000" w:rsidRPr="00000000" w14:paraId="00000009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-</w:t>
      </w:r>
      <w:r w:rsidDel="00000000" w:rsidR="00000000" w:rsidRPr="00000000">
        <w:rPr>
          <w:rtl w:val="0"/>
        </w:rPr>
        <w:t xml:space="preserve"> Após o período mencionado no caput a EMPRESA liquidará os haveres existentes no Banco de Horas, lavrando documento próprio relativamente ao saldo final verificado.</w:t>
      </w:r>
    </w:p>
    <w:p w:rsidR="00000000" w:rsidDel="00000000" w:rsidP="00000000" w:rsidRDefault="00000000" w:rsidRPr="00000000" w14:paraId="0000000A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:rsidR="00000000" w:rsidDel="00000000" w:rsidP="00000000" w:rsidRDefault="00000000" w:rsidRPr="00000000" w14:paraId="0000000C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 –</w:t>
      </w:r>
      <w:r w:rsidDel="00000000" w:rsidR="00000000" w:rsidRPr="00000000">
        <w:rPr>
          <w:rtl w:val="0"/>
        </w:rPr>
        <w:t xml:space="preserve"> A compensação das horas acumuladas no período descrito no caput poderá ser realizada mediante a prorrogação da jornada de trabalho em até 2 (duas) horas, não excedendo o limite de 10 (dez) horas diárias.</w:t>
      </w:r>
    </w:p>
    <w:p w:rsidR="00000000" w:rsidDel="00000000" w:rsidP="00000000" w:rsidRDefault="00000000" w:rsidRPr="00000000" w14:paraId="0000000D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 – </w:t>
      </w:r>
      <w:r w:rsidDel="00000000" w:rsidR="00000000" w:rsidRPr="00000000">
        <w:rPr>
          <w:rtl w:val="0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:rsidR="00000000" w:rsidDel="00000000" w:rsidP="00000000" w:rsidRDefault="00000000" w:rsidRPr="00000000" w14:paraId="0000000E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TERCEIRA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FORMA DE COMPENSAÇÃO</w:t>
      </w:r>
    </w:p>
    <w:p w:rsidR="00000000" w:rsidDel="00000000" w:rsidP="00000000" w:rsidRDefault="00000000" w:rsidRPr="00000000" w14:paraId="0000000F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EQUIVALÊNCIA E PROPORÇÃO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:rsidR="00000000" w:rsidDel="00000000" w:rsidP="00000000" w:rsidRDefault="00000000" w:rsidRPr="00000000" w14:paraId="00000012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QUINTA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CONTROLE</w:t>
      </w:r>
    </w:p>
    <w:p w:rsidR="00000000" w:rsidDel="00000000" w:rsidP="00000000" w:rsidRDefault="00000000" w:rsidRPr="00000000" w14:paraId="00000013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 Empresa manterá controle relativamente ao saldo de horas de que dispõe no sistema de Banco de Horas, seja a crédito, seja a débito, informando o(a) empregado(a) quando solicitado.</w:t>
      </w:r>
    </w:p>
    <w:p w:rsidR="00000000" w:rsidDel="00000000" w:rsidP="00000000" w:rsidRDefault="00000000" w:rsidRPr="00000000" w14:paraId="00000014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Único –</w:t>
      </w:r>
      <w:r w:rsidDel="00000000" w:rsidR="00000000" w:rsidRPr="00000000">
        <w:rPr>
          <w:rtl w:val="0"/>
        </w:rPr>
        <w:t xml:space="preserve"> 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:rsidR="00000000" w:rsidDel="00000000" w:rsidP="00000000" w:rsidRDefault="00000000" w:rsidRPr="00000000" w14:paraId="00000015">
      <w:pPr>
        <w:spacing w:after="160" w:before="16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AUSÊNCIAS INJUSTIFICADAS E </w:t>
      </w:r>
      <w:r w:rsidDel="00000000" w:rsidR="00000000" w:rsidRPr="00000000">
        <w:rPr>
          <w:b w:val="1"/>
          <w:rtl w:val="0"/>
        </w:rPr>
        <w:t xml:space="preserve">JUSTIFICÁVEIS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:rsidR="00000000" w:rsidDel="00000000" w:rsidP="00000000" w:rsidRDefault="00000000" w:rsidRPr="00000000" w14:paraId="00000017">
      <w:pPr>
        <w:spacing w:after="160" w:before="16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CLÁUSULA SÉTIMA 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DESLIGAMENTO</w:t>
      </w:r>
    </w:p>
    <w:p w:rsidR="00000000" w:rsidDel="00000000" w:rsidP="00000000" w:rsidRDefault="00000000" w:rsidRPr="00000000" w14:paraId="00000018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demais verbas rescisórias ou, existindo saldo devedor de horas no Banco de Horas, </w:t>
      </w:r>
      <w:r w:rsidDel="00000000" w:rsidR="00000000" w:rsidRPr="00000000">
        <w:rPr>
          <w:rtl w:val="0"/>
        </w:rPr>
        <w:t xml:space="preserve">essas</w:t>
      </w:r>
      <w:r w:rsidDel="00000000" w:rsidR="00000000" w:rsidRPr="00000000">
        <w:rPr>
          <w:rtl w:val="0"/>
        </w:rPr>
        <w:t xml:space="preserve"> serão descontadas na rescisão pelo seu valor hora simples.</w:t>
      </w:r>
    </w:p>
    <w:p w:rsidR="00000000" w:rsidDel="00000000" w:rsidP="00000000" w:rsidRDefault="00000000" w:rsidRPr="00000000" w14:paraId="00000019">
      <w:pPr>
        <w:spacing w:after="160" w:before="16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justos e acordados, celebram o presente acordo individual em 2 (duas) vias de igual teor e forma.</w:t>
      </w:r>
    </w:p>
    <w:p w:rsidR="00000000" w:rsidDel="00000000" w:rsidP="00000000" w:rsidRDefault="00000000" w:rsidRPr="00000000" w14:paraId="0000001A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</w:t>
      </w:r>
    </w:p>
    <w:p w:rsidR="00000000" w:rsidDel="00000000" w:rsidP="00000000" w:rsidRDefault="00000000" w:rsidRPr="00000000" w14:paraId="0000001C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D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F">
      <w:pPr>
        <w:spacing w:after="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0" w:before="300" w:line="240" w:lineRule="auto"/>
        <w:ind w:left="2267.71653543307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b w:val="1"/>
          <w:highlight w:val="yellow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