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72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73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74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76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7A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