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1tafsrn5qtut" w:id="0"/>
    <w:bookmarkEnd w:id="0"/>
    <w:p w:rsidR="00000000" w:rsidDel="00000000" w:rsidP="00000000" w:rsidRDefault="00000000" w:rsidRPr="00000000" w14:paraId="00000001">
      <w:pPr>
        <w:widowControl w:val="0"/>
        <w:spacing w:after="160" w:before="0" w:line="259.20000000000005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nº 1656, 9º andar - Pinheiros - São Paulo/SP - CEP 01451-918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spacing w:after="0" w:before="0" w:line="240" w:lineRule="auto"/>
      <w:jc w:val="center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Email: sistemas@educalegal.com.br | www.educalegal.com.br |Telefone: 31 3273.153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spacing w:after="0" w:before="0" w:line="240" w:lineRule="auto"/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spacing w:after="0" w:before="0" w:line="240" w:lineRule="auto"/>
      <w:jc w:val="right"/>
      <w:rPr>
        <w:color w:val="999999"/>
        <w:sz w:val="18"/>
        <w:szCs w:val="18"/>
      </w:rPr>
    </w:pP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252"/>
        <w:tab w:val="right" w:pos="8504"/>
      </w:tabs>
      <w:spacing w:after="0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292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904400" cy="504000"/>
          <wp:effectExtent b="0" l="0" r="0" t="0"/>
          <wp:wrapTopAndBottom distB="5292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4400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