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%}{% if  item.nationality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,{% endif %}{% if  item.marital_status %}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,{% endif %} {% if  item.rg %}portador(a)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,{% endif %}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</w:t>
      </w:r>
      <w:r w:rsidDel="00000000" w:rsidR="00000000" w:rsidRPr="00000000">
        <w:rPr>
          <w:rtl w:val="0"/>
        </w:rPr>
        <w:t xml:space="preserve">exposto</w:t>
      </w:r>
      <w:r w:rsidDel="00000000" w:rsidR="00000000" w:rsidRPr="00000000">
        <w:rPr>
          <w:rtl w:val="0"/>
        </w:rPr>
        <w:t xml:space="preserve">, solicitamos que entre em </w:t>
      </w:r>
      <w:r w:rsidDel="00000000" w:rsidR="00000000" w:rsidRPr="00000000">
        <w:rPr>
          <w:rtl w:val="0"/>
        </w:rPr>
        <w:t xml:space="preserve">conosco pelo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isabela.barbosa@educalegal.com.br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 pelo telefone/WhatsApp  (31)-99846-8882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Guimarães Neto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Isabela Carolina Costa Barbosa</w:t>
            </w:r>
          </w:p>
        </w:tc>
      </w:tr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101.430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173.881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bela.barbosa@educalegal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