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9C335F" w:rsidRDefault="009C335F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bookmarkStart w:id="0" w:name="_GoBack"/>
      <w:r w:rsidRPr="009C335F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INDIVIDUAL PARA BANCO DE HORAS – MEDIDA PROVISÓRIA 927/2020</w:t>
      </w:r>
    </w:p>
    <w:p w:rsidR="009C335F" w:rsidRPr="009C335F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n°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com sede em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nº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 bairro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CEP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["zip”] }}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, na cidade de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 por seu representante legal, doravante denominado </w:t>
      </w: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EMPRESA.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 </w:t>
      </w:r>
    </w:p>
    <w:p w:rsidR="009C335F" w:rsidRPr="009C335F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{%p for item in workers %}</w:t>
      </w:r>
    </w:p>
    <w:p w:rsidR="009C335F" w:rsidRPr="009C335F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9C335F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</w:t>
      </w:r>
      <w:r w:rsidRPr="009C335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 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lower}},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item.cpf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no RG sob o n.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º 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CTPS nº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item.ctps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Série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item.serie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item.email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item.email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n.º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{% if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item.address.unit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item.address.unit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 CEP {{ item.address.zip }},</w:t>
      </w:r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doravante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>denominado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9C335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  <w:proofErr w:type="gramEnd"/>
    </w:p>
    <w:p w:rsidR="009C335F" w:rsidRPr="009C335F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820420" w:rsidRPr="009C335F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O Regime Especial de Compensação de Jornada (“Banco de Horas”) ora estabelecido entre as partes possuirá vigência a partir do dia 23 de março de 2020 até 18 (dezoito) meses contados da data de encerramento do estado de calamidade pública declarado pelo Decreto Legislativo 6/2020.</w:t>
      </w:r>
    </w:p>
    <w:p w:rsidR="009C335F" w:rsidRPr="009C335F" w:rsidRDefault="009C335F" w:rsidP="009C335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Após o período mencionado no caput a EMPRESA liquidará os haveres existentes no Banco de Horas, lavrando documento próprio relativamente ao saldo final verificado.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9C335F" w:rsidRPr="009C335F" w:rsidRDefault="009C335F" w:rsidP="009C335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lastRenderedPageBreak/>
        <w:t>A compensação das horas acumuladas no período descrito no caput poderá ser realizada mediante a prorrogação da jornada de trabalho em até 2 (duas) horas, não excedendo o limite de 10 (dez) horas diárias.</w:t>
      </w:r>
    </w:p>
    <w:p w:rsidR="009C335F" w:rsidRPr="009C335F" w:rsidRDefault="009C335F" w:rsidP="009C335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FORMA DE COMPENSAÇÃO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EQUIVALÊNCIA E PROPORÇÃO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CONTROLE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A Empresa manterá controle relativamente ao saldo de horas de que dispõe no sistema de Banco de Horas, seja a crédito, seja a débito, informando o(a) empregado(a) quando solicitado.</w:t>
      </w:r>
    </w:p>
    <w:p w:rsidR="009C335F" w:rsidRPr="009C335F" w:rsidRDefault="009C335F" w:rsidP="009C335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AUSÊNCIAS INJUSTIFICADAS E JUSTIFICÁVEIS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9C335F" w:rsidRPr="009C335F" w:rsidRDefault="009C335F" w:rsidP="009C335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b/>
          <w:spacing w:val="2"/>
          <w:kern w:val="144"/>
        </w:rPr>
        <w:t>DESLIGAMENTO</w:t>
      </w:r>
    </w:p>
    <w:p w:rsidR="009C335F" w:rsidRPr="009C335F" w:rsidRDefault="009C335F" w:rsidP="009C335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</w:t>
      </w:r>
      <w:r w:rsidRPr="009C335F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demais verbas rescisórias ou, existindo saldo devedor de horas no Banco de Horas, essas serão </w:t>
      </w:r>
      <w:proofErr w:type="gramStart"/>
      <w:r w:rsidRPr="009C335F">
        <w:rPr>
          <w:rFonts w:asciiTheme="majorHAnsi" w:eastAsia="Calibri" w:hAnsiTheme="majorHAnsi" w:cstheme="majorHAnsi"/>
          <w:spacing w:val="2"/>
          <w:kern w:val="144"/>
        </w:rPr>
        <w:t>descontadas</w:t>
      </w:r>
      <w:proofErr w:type="gramEnd"/>
      <w:r w:rsidRPr="009C335F">
        <w:rPr>
          <w:rFonts w:asciiTheme="majorHAnsi" w:eastAsia="Calibri" w:hAnsiTheme="majorHAnsi" w:cstheme="majorHAnsi"/>
          <w:spacing w:val="2"/>
          <w:kern w:val="144"/>
        </w:rPr>
        <w:t xml:space="preserve"> na rescisão pelo seu valor hora simples.</w:t>
      </w:r>
    </w:p>
    <w:p w:rsidR="00F8562A" w:rsidRPr="009C335F" w:rsidRDefault="009C335F" w:rsidP="009C335F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C335F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acordo individual em 2 (duas) vias de igual teor e forma.</w:t>
      </w:r>
    </w:p>
    <w:p w:rsidR="00820420" w:rsidRPr="009C335F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9C335F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9C335F" w:rsidTr="009C335F">
        <w:trPr>
          <w:trHeight w:val="280"/>
        </w:trPr>
        <w:tc>
          <w:tcPr>
            <w:tcW w:w="5669" w:type="dxa"/>
          </w:tcPr>
          <w:p w:rsidR="00820420" w:rsidRPr="009C335F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Empresa:</w:t>
            </w:r>
          </w:p>
        </w:tc>
        <w:tc>
          <w:tcPr>
            <w:tcW w:w="5669" w:type="dxa"/>
          </w:tcPr>
          <w:p w:rsidR="00820420" w:rsidRPr="009C335F" w:rsidRDefault="009C335F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9C335F" w:rsidTr="009C335F">
        <w:trPr>
          <w:trHeight w:val="280"/>
        </w:trPr>
        <w:tc>
          <w:tcPr>
            <w:tcW w:w="5669" w:type="dxa"/>
          </w:tcPr>
          <w:p w:rsidR="00820420" w:rsidRPr="009C335F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9C335F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9C335F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9C335F" w:rsidRDefault="009C335F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workers %}</w:t>
            </w:r>
          </w:p>
          <w:p w:rsidR="00820420" w:rsidRPr="009C335F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9C335F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9C335F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9C335F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9C335F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9C335F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9C335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bookmarkEnd w:id="0"/>
    </w:tbl>
    <w:p w:rsidR="00820420" w:rsidRPr="009C335F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9C335F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F2" w:rsidRDefault="00E723F2">
      <w:pPr>
        <w:spacing w:line="240" w:lineRule="auto"/>
      </w:pPr>
      <w:r>
        <w:separator/>
      </w:r>
    </w:p>
  </w:endnote>
  <w:endnote w:type="continuationSeparator" w:id="0">
    <w:p w:rsidR="00E723F2" w:rsidRDefault="00E72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F2" w:rsidRDefault="00E723F2">
      <w:pPr>
        <w:spacing w:line="240" w:lineRule="auto"/>
      </w:pPr>
      <w:r>
        <w:separator/>
      </w:r>
    </w:p>
  </w:footnote>
  <w:footnote w:type="continuationSeparator" w:id="0">
    <w:p w:rsidR="00E723F2" w:rsidRDefault="00E72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C335F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23F2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2020-09-11T12:44:00Z</dcterms:modified>
</cp:coreProperties>
</file>