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907" w:top="1389" w:left="1700" w:right="85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widowControl w:val="0"/>
      <w:tabs>
        <w:tab w:val="center" w:pos="4252"/>
        <w:tab w:val="right" w:pos="8504"/>
      </w:tabs>
      <w:jc w:val="left"/>
      <w:rPr>
        <w:rFonts w:ascii="Times" w:cs="Times" w:eastAsia="Times" w:hAnsi="Times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Colégio Bilíngue de Educação Ltda.</w:t>
    </w:r>
  </w:p>
  <w:p w:rsidR="00000000" w:rsidDel="00000000" w:rsidP="00000000" w:rsidRDefault="00000000" w:rsidRPr="00000000" w14:paraId="0000000B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Alameda dos Maracatins, 999 - Indianópolis - São Paulo - SP - 04089-013</w:t>
    </w:r>
  </w:p>
  <w:p w:rsidR="00000000" w:rsidDel="00000000" w:rsidP="00000000" w:rsidRDefault="00000000" w:rsidRPr="00000000" w14:paraId="0000000C">
    <w:pPr>
      <w:widowControl w:val="0"/>
      <w:tabs>
        <w:tab w:val="center" w:pos="4252"/>
        <w:tab w:val="right" w:pos="8504"/>
      </w:tabs>
      <w:jc w:val="left"/>
      <w:rPr/>
    </w:pPr>
    <w:r w:rsidDel="00000000" w:rsidR="00000000" w:rsidRPr="00000000">
      <w:rPr>
        <w:sz w:val="18"/>
        <w:szCs w:val="18"/>
        <w:rtl w:val="0"/>
      </w:rPr>
      <w:t xml:space="preserve">Fone: (11) 5502-5555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color w:val="000000"/>
        <w:sz w:val="22"/>
        <w:szCs w:val="22"/>
      </w:rPr>
      <w:drawing>
        <wp:inline distB="0" distT="0" distL="0" distR="0">
          <wp:extent cx="415332" cy="613468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5332" cy="6134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="259" w:lineRule="auto"/>
      <w:ind w:left="0" w:firstLine="0"/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300" w:lineRule="auto"/>
      <w:ind w:left="566" w:hanging="425"/>
      <w:jc w:val="left"/>
    </w:pPr>
    <w:rPr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="300" w:lineRule="auto"/>
      <w:jc w:val="center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  <w:jc w:val="left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  <w:jc w:val="left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  <w:jc w:val="left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  <w:jc w:val="left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