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G Tim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Bureau 2454 Cursos Livres Ltda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Loteamento Cidade Balneária Itaipu, 2454 - Itaipu - Niterói - RJ - 24346-020</w:t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sz w:val="18"/>
        <w:szCs w:val="18"/>
        <w:rtl w:val="0"/>
      </w:rPr>
      <w:t xml:space="preserve">Fone: (21) 2616-2921</w:t>
      <w:tab/>
      <w:tab/>
      <w:tab/>
    </w:r>
    <w:r w:rsidDel="00000000" w:rsidR="00000000" w:rsidRPr="00000000"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Fonts w:ascii="CG Times" w:cs="CG Times" w:eastAsia="CG Times" w:hAnsi="CG Times"/>
        <w:sz w:val="24"/>
        <w:szCs w:val="24"/>
      </w:rPr>
      <w:drawing>
        <wp:inline distB="114300" distT="114300" distL="114300" distR="114300">
          <wp:extent cx="933390" cy="64488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390" cy="644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GTimes-regular.ttf"/><Relationship Id="rId6" Type="http://schemas.openxmlformats.org/officeDocument/2006/relationships/font" Target="fonts/CGTimes-bold.ttf"/><Relationship Id="rId7" Type="http://schemas.openxmlformats.org/officeDocument/2006/relationships/font" Target="fonts/CGTimes-italic.ttf"/><Relationship Id="rId8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