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Medida Provisória nº. 936 de 1º de Abril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school["state”]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, doravante denominado(a) </w:t>
      </w:r>
      <w:r w:rsidDel="00000000" w:rsidR="00000000" w:rsidRPr="00000000">
        <w:rPr>
          <w:b w:val="1"/>
          <w:rtl w:val="0"/>
        </w:rPr>
        <w:t xml:space="preserve">EMPREGADO(A).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highlight w:val="yellow"/>
          <w:rtl w:val="0"/>
        </w:rPr>
        <w:t xml:space="preserve">{{ "%.2f"|format(pc_reducao) | replace(".",",") }}</w:t>
      </w:r>
      <w:r w:rsidDel="00000000" w:rsidR="00000000" w:rsidRPr="00000000">
        <w:rPr>
          <w:rtl w:val="0"/>
        </w:rPr>
        <w:t xml:space="preserve">% (</w:t>
      </w:r>
      <w:r w:rsidDel="00000000" w:rsidR="00000000" w:rsidRPr="00000000">
        <w:rPr>
          <w:highlight w:val="yellow"/>
          <w:rtl w:val="0"/>
        </w:rPr>
        <w:t xml:space="preserve">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highlight w:val="yellow"/>
          <w:rtl w:val="0"/>
        </w:rPr>
        <w:t xml:space="preserve">{{ "%.2f"|format(pc_reducao) | replace(".",",") }}</w:t>
      </w:r>
      <w:r w:rsidDel="00000000" w:rsidR="00000000" w:rsidRPr="00000000">
        <w:rPr>
          <w:rtl w:val="0"/>
        </w:rPr>
        <w:t xml:space="preserve">% (</w:t>
      </w:r>
      <w:r w:rsidDel="00000000" w:rsidR="00000000" w:rsidRPr="00000000">
        <w:rPr>
          <w:highlight w:val="yellow"/>
          <w:rtl w:val="0"/>
        </w:rPr>
        <w:t xml:space="preserve">{{ pc_reducao_extenso }}</w:t>
      </w:r>
      <w:r w:rsidDel="00000000" w:rsidR="00000000" w:rsidRPr="00000000">
        <w:rPr>
          <w:rtl w:val="0"/>
        </w:rPr>
        <w:t xml:space="preserve"> por cento).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deverá manter os benefícios já concedidos.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highlight w:val="yellow"/>
          <w:rtl w:val="0"/>
        </w:rPr>
        <w:t xml:space="preserve">{{ "%.2f"|format(</w:t>
      </w:r>
      <w:r w:rsidDel="00000000" w:rsidR="00000000" w:rsidRPr="00000000">
        <w:rPr>
          <w:highlight w:val="yellow"/>
          <w:rtl w:val="0"/>
        </w:rPr>
        <w:t xml:space="preserve">valor</w:t>
      </w:r>
      <w:r w:rsidDel="00000000" w:rsidR="00000000" w:rsidRPr="00000000">
        <w:rPr>
          <w:highlight w:val="yellow"/>
          <w:rtl w:val="0"/>
        </w:rPr>
        <w:t xml:space="preserve">) | replace(".",",") }}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valor_extenso</w:t>
      </w:r>
      <w:r w:rsidDel="00000000" w:rsidR="00000000" w:rsidRPr="00000000">
        <w:rPr>
          <w:highlight w:val="yellow"/>
          <w:rtl w:val="0"/>
        </w:rPr>
        <w:t xml:space="preserve"> }}</w:t>
      </w:r>
      <w:r w:rsidDel="00000000" w:rsidR="00000000" w:rsidRPr="00000000">
        <w:rPr>
          <w:rtl w:val="0"/>
        </w:rPr>
        <w:t xml:space="preserve">). Esta ajuda compensatória não integrará o salário devido pelo EMPREGADOR.</w:t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</w:t>
      </w:r>
      <w:r w:rsidDel="00000000" w:rsidR="00000000" w:rsidRPr="00000000">
        <w:rPr>
          <w:highlight w:val="yellow"/>
          <w:rtl w:val="0"/>
        </w:rPr>
        <w:t xml:space="preserve">{{ prazo }}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{{ prazo_extenso }}</w:t>
      </w:r>
      <w:r w:rsidDel="00000000" w:rsidR="00000000" w:rsidRPr="00000000">
        <w:rPr>
          <w:rtl w:val="0"/>
        </w:rPr>
        <w:t xml:space="preserve">) dia(s)</w:t>
      </w:r>
      <w:r w:rsidDel="00000000" w:rsidR="00000000" w:rsidRPr="00000000">
        <w:rPr>
          <w:highlight w:val="cyan"/>
          <w:rtl w:val="0"/>
        </w:rPr>
        <w:t xml:space="preserve">{% if prazo &lt; 90 %}</w:t>
      </w:r>
      <w:r w:rsidDel="00000000" w:rsidR="00000000" w:rsidRPr="00000000">
        <w:rPr>
          <w:rtl w:val="0"/>
        </w:rPr>
        <w:t xml:space="preserve">, podendo ser prorrogado até o prazo máximo de 90 (noventa) dias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90 (noventa) dias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highlight w:val="cyan"/>
          <w:rtl w:val="0"/>
        </w:rPr>
        <w:t xml:space="preserve">{% if prazo &lt; 90 %}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highlight w:val="cyan"/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highlight w:val="cyan"/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highlight w:val="cyan"/>
          <w:rtl w:val="0"/>
        </w:rPr>
        <w:t xml:space="preserve">{% else %}</w:t>
      </w:r>
      <w:r w:rsidDel="00000000" w:rsidR="00000000" w:rsidRPr="00000000">
        <w:rPr>
          <w:highlight w:val="yellow"/>
          <w:rtl w:val="0"/>
        </w:rPr>
        <w:t xml:space="preserve">{{ tempo_garantia_emprego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O EMPREGADO concorda, expressamente, que, sobrevindo legislação diferenciada, o EMPREGADOR poderá adotá-la, contudo, deverá comunicar ao EMPREGADO. 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36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