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title_case(fornecedor.name.first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school_legal_name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school_cnpj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school_street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school_street_number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school_unit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title_case(school_unit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school_neighborhood }}, {{ school_city }}/{{ school_state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school_zip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D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highlight w:val="yellow"/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school_legal_name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6412" cy="52309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6412" cy="5230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