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993556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DM Sans" w:cs="DM Sans" w:eastAsia="DM Sans" w:hAnsi="DM Sans"/>
                <w:b/>
                <w:bCs/>
                <w:caps/>
                <w:color w:val="FFFFFF"/>
                <w:spacing w:val="20"/>
                <w:sz w:val="18"/>
                <w:szCs w:val="18"/>
              </w:rPr>
              <w:t xml:space="preserve">STEP 3 · WEIGHING</w:t>
            </w:r>
          </w:p>
          <w:p>
            <w:pPr>
              <w:spacing w:before="60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40"/>
                <w:szCs w:val="40"/>
              </w:rPr>
              <w:t xml:space="preserve">MV_20 · The KNMG Dilemma Method</w:t>
            </w:r>
          </w:p>
        </w:tc>
      </w:tr>
    </w:tbl>
    <w:p>
      <w:pPr>
        <w:spacing w:after="120" w:before="240"/>
      </w:pPr>
      <w:r>
        <w:rPr>
          <w:rFonts w:ascii="Cormorant Garamond" w:cs="Cormorant Garamond" w:eastAsia="Cormorant Garamond" w:hAnsi="Cormorant Garamond"/>
          <w:i/>
          <w:iCs/>
          <w:color w:val="1A2744"/>
          <w:sz w:val="26"/>
          <w:szCs w:val="26"/>
        </w:rPr>
        <w:t xml:space="preserve">Taking a dilemma apart, step by step</w:t>
      </w:r>
    </w:p>
    <w:p>
      <w:pPr>
        <w:spacing w:after="60"/>
      </w:pPr>
      <w:r>
        <w:rPr>
          <w:rFonts w:ascii="DM Sans" w:cs="DM Sans" w:eastAsia="DM Sans" w:hAnsi="DM Sans"/>
          <w:b/>
          <w:bCs/>
          <w:color w:val="993556"/>
          <w:sz w:val="19"/>
          <w:szCs w:val="19"/>
        </w:rPr>
        <w:t xml:space="preserve">Duration:  </w:t>
      </w:r>
      <w:r>
        <w:rPr>
          <w:rFonts w:ascii="DM Sans" w:cs="DM Sans" w:eastAsia="DM Sans" w:hAnsi="DM Sans"/>
          <w:color w:val="5F5E5A"/>
          <w:sz w:val="19"/>
          <w:szCs w:val="19"/>
        </w:rPr>
        <w:t xml:space="preserve">45–60 minutes</w:t>
      </w:r>
    </w:p>
    <w:p>
      <w:pPr>
        <w:spacing w:after="60"/>
      </w:pPr>
      <w:r>
        <w:rPr>
          <w:rFonts w:ascii="DM Sans" w:cs="DM Sans" w:eastAsia="DM Sans" w:hAnsi="DM Sans"/>
          <w:b/>
          <w:bCs/>
          <w:color w:val="993556"/>
          <w:sz w:val="19"/>
          <w:szCs w:val="19"/>
        </w:rPr>
        <w:t xml:space="preserve">Group size:  </w:t>
      </w:r>
      <w:r>
        <w:rPr>
          <w:rFonts w:ascii="DM Sans" w:cs="DM Sans" w:eastAsia="DM Sans" w:hAnsi="DM Sans"/>
          <w:color w:val="5F5E5A"/>
          <w:sz w:val="19"/>
          <w:szCs w:val="19"/>
        </w:rPr>
        <w:t xml:space="preserve">2–6 people (prepare individually, discuss together)</w:t>
      </w:r>
    </w:p>
    <w:p>
      <w:pPr>
        <w:spacing w:after="60"/>
      </w:pPr>
      <w:r>
        <w:rPr>
          <w:rFonts w:ascii="DM Sans" w:cs="DM Sans" w:eastAsia="DM Sans" w:hAnsi="DM Sans"/>
          <w:b/>
          <w:bCs/>
          <w:color w:val="993556"/>
          <w:sz w:val="19"/>
          <w:szCs w:val="19"/>
        </w:rPr>
        <w:t xml:space="preserve">Materials:  </w:t>
      </w:r>
      <w:r>
        <w:rPr>
          <w:rFonts w:ascii="DM Sans" w:cs="DM Sans" w:eastAsia="DM Sans" w:hAnsi="DM Sans"/>
          <w:color w:val="5F5E5A"/>
          <w:sz w:val="19"/>
          <w:szCs w:val="19"/>
        </w:rPr>
        <w:t xml:space="preserve">This worksheet, pen, optionally a concrete case or conversation card</w:t>
      </w:r>
    </w:p>
    <w:p>
      <w:pPr>
        <w:spacing w:after="60"/>
      </w:pPr>
      <w:r>
        <w:rPr>
          <w:rFonts w:ascii="DM Sans" w:cs="DM Sans" w:eastAsia="DM Sans" w:hAnsi="DM Sans"/>
          <w:b/>
          <w:bCs/>
          <w:color w:val="993556"/>
          <w:sz w:val="19"/>
          <w:szCs w:val="19"/>
        </w:rPr>
        <w:t xml:space="preserve">Combine with:  </w:t>
      </w:r>
      <w:r>
        <w:rPr>
          <w:rFonts w:ascii="DM Sans" w:cs="DM Sans" w:eastAsia="DM Sans" w:hAnsi="DM Sans"/>
          <w:color w:val="5F5E5A"/>
          <w:sz w:val="19"/>
          <w:szCs w:val="19"/>
        </w:rPr>
        <w:t xml:space="preserve">Moral Deliberation (Step 3) · Trust Mirror (Step 3) · MV_18 Moral Crossroads</w:t>
      </w:r>
    </w:p>
    <w:p>
      <w:pPr>
        <w:pBdr>
          <w:bottom w:val="single" w:color="993556" w:sz="6" w:space="4"/>
        </w:pBdr>
        <w:spacing w:after="120" w:before="320"/>
      </w:pPr>
      <w:r>
        <w:rPr>
          <w:rFonts w:ascii="Cormorant Garamond" w:cs="Cormorant Garamond" w:eastAsia="Cormorant Garamond" w:hAnsi="Cormorant Garamond"/>
          <w:b/>
          <w:bCs/>
          <w:color w:val="993556"/>
          <w:sz w:val="28"/>
          <w:szCs w:val="28"/>
        </w:rPr>
        <w:t xml:space="preserve">Why this method</w:t>
      </w:r>
    </w:p>
    <w:p>
      <w:pPr>
        <w:spacing w:after="160"/>
      </w:pPr>
      <w:r>
        <w:rPr>
          <w:rFonts w:ascii="DM Sans" w:cs="DM Sans" w:eastAsia="DM Sans" w:hAnsi="DM Sans"/>
          <w:i w:val="false"/>
          <w:iCs w:val="false"/>
          <w:color w:val="1A2744"/>
          <w:sz w:val="21"/>
          <w:szCs w:val="21"/>
        </w:rPr>
        <w:t xml:space="preserve">The KNMG dilemma method originates in medical ethics, developed to help physicians and medical students systematically take a dilemma apart before making a choice. For the Model of Moral Craftsmanship the method has been detached from its medical origin: the steps work equally well for a dilemma in HR, in education, or in client care.</w:t>
      </w:r>
    </w:p>
    <w:p>
      <w:pPr>
        <w:spacing w:after="160"/>
      </w:pPr>
      <w:r>
        <w:rPr>
          <w:rFonts w:ascii="DM Sans" w:cs="DM Sans" w:eastAsia="DM Sans" w:hAnsi="DM Sans"/>
          <w:i w:val="false"/>
          <w:iCs w:val="false"/>
          <w:color w:val="1A2744"/>
          <w:sz w:val="21"/>
          <w:szCs w:val="21"/>
        </w:rPr>
        <w:t xml:space="preserve">Where the conversation cards mainly spark an encounter with a dilemma (Seeing and Feeling), this method offers structure for the actual weighing: laying facts, stakeholders, options and arguments side by side, without flattening the complexity.</w:t>
      </w:r>
    </w:p>
    <w:p>
      <w:pPr>
        <w:pBdr>
          <w:bottom w:val="single" w:color="993556" w:sz="6" w:space="4"/>
        </w:pBdr>
        <w:spacing w:after="120" w:before="320"/>
      </w:pPr>
      <w:r>
        <w:rPr>
          <w:rFonts w:ascii="Cormorant Garamond" w:cs="Cormorant Garamond" w:eastAsia="Cormorant Garamond" w:hAnsi="Cormorant Garamond"/>
          <w:b/>
          <w:bCs/>
          <w:color w:val="993556"/>
          <w:sz w:val="28"/>
          <w:szCs w:val="28"/>
        </w:rPr>
        <w:t xml:space="preserve">Preparation: determine the level</w:t>
      </w:r>
    </w:p>
    <w:p>
      <w:pPr>
        <w:spacing w:after="160"/>
      </w:pPr>
      <w:r>
        <w:rPr>
          <w:rFonts w:ascii="DM Sans" w:cs="DM Sans" w:eastAsia="DM Sans" w:hAnsi="DM Sans"/>
          <w:i w:val="false"/>
          <w:iCs w:val="false"/>
          <w:color w:val="1A2744"/>
          <w:sz w:val="21"/>
          <w:szCs w:val="21"/>
        </w:rPr>
        <w:t xml:space="preserve">Before working through the steps, it helps to determine at what level the dilemma plays out. This shapes how many parties, interests and how much uncertainty are involved — and therefore how much time the weighing deserves.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2744"/>
          <w:sz w:val="21"/>
          <w:szCs w:val="21"/>
        </w:rPr>
        <w:t xml:space="preserve">★ Micro — a direct, personal choice between two values (e.g. collegiality versus honesty).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2744"/>
          <w:sz w:val="21"/>
          <w:szCs w:val="21"/>
        </w:rPr>
        <w:t xml:space="preserve">★★ Meso — tension between personal values and the rules, culture or interests of an organisation.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2744"/>
          <w:sz w:val="21"/>
          <w:szCs w:val="21"/>
        </w:rPr>
        <w:t xml:space="preserve">★★★ Macro — a systemic issue where legislation, politics and societal interests intersect; there is no single right answer.</w:t>
      </w:r>
    </w:p>
    <w:p>
      <w:pPr>
        <w:spacing w:after="160"/>
      </w:pPr>
      <w:r>
        <w:rPr>
          <w:rFonts w:ascii="DM Sans" w:cs="DM Sans" w:eastAsia="DM Sans" w:hAnsi="DM Sans"/>
          <w:i/>
          <w:iCs/>
          <w:color w:val="1A2744"/>
          <w:sz w:val="21"/>
          <w:szCs w:val="21"/>
        </w:rPr>
        <w:t xml:space="preserve">This level system returns with every conversation card in the library — so you know in advance how much weight a dilemma carries.</w:t>
      </w:r>
    </w:p>
    <w:p>
      <w:pPr>
        <w:pBdr>
          <w:bottom w:val="single" w:color="993556" w:sz="6" w:space="4"/>
        </w:pBdr>
        <w:spacing w:after="120" w:before="320"/>
      </w:pPr>
      <w:r>
        <w:rPr>
          <w:rFonts w:ascii="Cormorant Garamond" w:cs="Cormorant Garamond" w:eastAsia="Cormorant Garamond" w:hAnsi="Cormorant Garamond"/>
          <w:b/>
          <w:bCs/>
          <w:color w:val="993556"/>
          <w:sz w:val="28"/>
          <w:szCs w:val="28"/>
        </w:rPr>
        <w:t xml:space="preserve">The method in six steps</w:t>
      </w:r>
    </w:p>
    <w:p>
      <w:pPr>
        <w:spacing w:after="40" w:before="200"/>
      </w:pPr>
      <w:r>
        <w:rPr>
          <w:rFonts w:ascii="Cormorant Garamond" w:cs="Cormorant Garamond" w:eastAsia="Cormorant Garamond" w:hAnsi="Cormorant Garamond"/>
          <w:b/>
          <w:bCs/>
          <w:color w:val="993556"/>
          <w:sz w:val="24"/>
          <w:szCs w:val="24"/>
        </w:rPr>
        <w:t xml:space="preserve">1. </w:t>
      </w:r>
      <w:r>
        <w:rPr>
          <w:rFonts w:ascii="Cormorant Garamond" w:cs="Cormorant Garamond" w:eastAsia="Cormorant Garamond" w:hAnsi="Cormorant Garamond"/>
          <w:b/>
          <w:bCs/>
          <w:color w:val="1A2744"/>
          <w:sz w:val="24"/>
          <w:szCs w:val="24"/>
        </w:rPr>
        <w:t xml:space="preserve">Describe the dilemma</w:t>
      </w:r>
    </w:p>
    <w:p>
      <w:pPr>
        <w:spacing w:after="100"/>
        <w:ind w:left="215"/>
      </w:pPr>
      <w:r>
        <w:rPr>
          <w:rFonts w:ascii="DM Sans" w:cs="DM Sans" w:eastAsia="DM Sans" w:hAnsi="DM Sans"/>
          <w:color w:val="1A2744"/>
          <w:sz w:val="21"/>
          <w:szCs w:val="21"/>
        </w:rPr>
        <w:t xml:space="preserve">State the situation as factually as possible, in one or two sentences. No judgment yet — just what is at play.</w:t>
      </w:r>
    </w:p>
    <w:p>
      <w:pPr>
        <w:spacing w:after="40" w:before="200"/>
      </w:pPr>
      <w:r>
        <w:rPr>
          <w:rFonts w:ascii="Cormorant Garamond" w:cs="Cormorant Garamond" w:eastAsia="Cormorant Garamond" w:hAnsi="Cormorant Garamond"/>
          <w:b/>
          <w:bCs/>
          <w:color w:val="993556"/>
          <w:sz w:val="24"/>
          <w:szCs w:val="24"/>
        </w:rPr>
        <w:t xml:space="preserve">2. </w:t>
      </w:r>
      <w:r>
        <w:rPr>
          <w:rFonts w:ascii="Cormorant Garamond" w:cs="Cormorant Garamond" w:eastAsia="Cormorant Garamond" w:hAnsi="Cormorant Garamond"/>
          <w:b/>
          <w:bCs/>
          <w:color w:val="1A2744"/>
          <w:sz w:val="24"/>
          <w:szCs w:val="24"/>
        </w:rPr>
        <w:t xml:space="preserve">Gather the facts</w:t>
      </w:r>
    </w:p>
    <w:p>
      <w:pPr>
        <w:spacing w:after="100"/>
        <w:ind w:left="215"/>
      </w:pPr>
      <w:r>
        <w:rPr>
          <w:rFonts w:ascii="DM Sans" w:cs="DM Sans" w:eastAsia="DM Sans" w:hAnsi="DM Sans"/>
          <w:color w:val="1A2744"/>
          <w:sz w:val="21"/>
          <w:szCs w:val="21"/>
        </w:rPr>
        <w:t xml:space="preserve">What do you know for certain? What is assumption or interpretation? Separate these explicitly.</w:t>
      </w:r>
    </w:p>
    <w:p>
      <w:pPr>
        <w:spacing w:after="40" w:before="200"/>
      </w:pPr>
      <w:r>
        <w:rPr>
          <w:rFonts w:ascii="Cormorant Garamond" w:cs="Cormorant Garamond" w:eastAsia="Cormorant Garamond" w:hAnsi="Cormorant Garamond"/>
          <w:b/>
          <w:bCs/>
          <w:color w:val="993556"/>
          <w:sz w:val="24"/>
          <w:szCs w:val="24"/>
        </w:rPr>
        <w:t xml:space="preserve">3. </w:t>
      </w:r>
      <w:r>
        <w:rPr>
          <w:rFonts w:ascii="Cormorant Garamond" w:cs="Cormorant Garamond" w:eastAsia="Cormorant Garamond" w:hAnsi="Cormorant Garamond"/>
          <w:b/>
          <w:bCs/>
          <w:color w:val="1A2744"/>
          <w:sz w:val="24"/>
          <w:szCs w:val="24"/>
        </w:rPr>
        <w:t xml:space="preserve">Map the stakeholders and their interests</w:t>
      </w:r>
    </w:p>
    <w:p>
      <w:pPr>
        <w:spacing w:after="100"/>
        <w:ind w:left="215"/>
      </w:pPr>
      <w:r>
        <w:rPr>
          <w:rFonts w:ascii="DM Sans" w:cs="DM Sans" w:eastAsia="DM Sans" w:hAnsi="DM Sans"/>
          <w:color w:val="1A2744"/>
          <w:sz w:val="21"/>
          <w:szCs w:val="21"/>
        </w:rPr>
        <w:t xml:space="preserve">Who stands to gain or lose, and with which outcome? Don't forget the quiet stakeholders.</w:t>
      </w:r>
    </w:p>
    <w:p>
      <w:pPr>
        <w:spacing w:after="40" w:before="200"/>
      </w:pPr>
      <w:r>
        <w:rPr>
          <w:rFonts w:ascii="Cormorant Garamond" w:cs="Cormorant Garamond" w:eastAsia="Cormorant Garamond" w:hAnsi="Cormorant Garamond"/>
          <w:b/>
          <w:bCs/>
          <w:color w:val="993556"/>
          <w:sz w:val="24"/>
          <w:szCs w:val="24"/>
        </w:rPr>
        <w:t xml:space="preserve">4. </w:t>
      </w:r>
      <w:r>
        <w:rPr>
          <w:rFonts w:ascii="Cormorant Garamond" w:cs="Cormorant Garamond" w:eastAsia="Cormorant Garamond" w:hAnsi="Cormorant Garamond"/>
          <w:b/>
          <w:bCs/>
          <w:color w:val="1A2744"/>
          <w:sz w:val="24"/>
          <w:szCs w:val="24"/>
        </w:rPr>
        <w:t xml:space="preserve">Formulate at least two courses of action</w:t>
      </w:r>
    </w:p>
    <w:p>
      <w:pPr>
        <w:spacing w:after="100"/>
        <w:ind w:left="215"/>
      </w:pPr>
      <w:r>
        <w:rPr>
          <w:rFonts w:ascii="DM Sans" w:cs="DM Sans" w:eastAsia="DM Sans" w:hAnsi="DM Sans"/>
          <w:color w:val="1A2744"/>
          <w:sz w:val="21"/>
          <w:szCs w:val="21"/>
        </w:rPr>
        <w:t xml:space="preserve">Avoid a false dilemma of only two extremes — look for a third way too.</w:t>
      </w:r>
    </w:p>
    <w:p>
      <w:pPr>
        <w:spacing w:after="40" w:before="200"/>
      </w:pPr>
      <w:r>
        <w:rPr>
          <w:rFonts w:ascii="Cormorant Garamond" w:cs="Cormorant Garamond" w:eastAsia="Cormorant Garamond" w:hAnsi="Cormorant Garamond"/>
          <w:b/>
          <w:bCs/>
          <w:color w:val="993556"/>
          <w:sz w:val="24"/>
          <w:szCs w:val="24"/>
        </w:rPr>
        <w:t xml:space="preserve">5. </w:t>
      </w:r>
      <w:r>
        <w:rPr>
          <w:rFonts w:ascii="Cormorant Garamond" w:cs="Cormorant Garamond" w:eastAsia="Cormorant Garamond" w:hAnsi="Cormorant Garamond"/>
          <w:b/>
          <w:bCs/>
          <w:color w:val="1A2744"/>
          <w:sz w:val="24"/>
          <w:szCs w:val="24"/>
        </w:rPr>
        <w:t xml:space="preserve">Weigh the options against four ethical principles</w:t>
      </w:r>
    </w:p>
    <w:p>
      <w:pPr>
        <w:spacing w:after="100"/>
        <w:ind w:left="215"/>
      </w:pPr>
      <w:r>
        <w:rPr>
          <w:rFonts w:ascii="DM Sans" w:cs="DM Sans" w:eastAsia="DM Sans" w:hAnsi="DM Sans"/>
          <w:color w:val="1A2744"/>
          <w:sz w:val="21"/>
          <w:szCs w:val="21"/>
        </w:rPr>
        <w:t xml:space="preserve">Autonomy, beneficence, non-maleficence and justice. Which option does most justice to all four, and where does it chafe?</w:t>
      </w:r>
    </w:p>
    <w:p>
      <w:pPr>
        <w:spacing w:after="40" w:before="200"/>
      </w:pPr>
      <w:r>
        <w:rPr>
          <w:rFonts w:ascii="Cormorant Garamond" w:cs="Cormorant Garamond" w:eastAsia="Cormorant Garamond" w:hAnsi="Cormorant Garamond"/>
          <w:b/>
          <w:bCs/>
          <w:color w:val="993556"/>
          <w:sz w:val="24"/>
          <w:szCs w:val="24"/>
        </w:rPr>
        <w:t xml:space="preserve">6. </w:t>
      </w:r>
      <w:r>
        <w:rPr>
          <w:rFonts w:ascii="Cormorant Garamond" w:cs="Cormorant Garamond" w:eastAsia="Cormorant Garamond" w:hAnsi="Cormorant Garamond"/>
          <w:b/>
          <w:bCs/>
          <w:color w:val="1A2744"/>
          <w:sz w:val="24"/>
          <w:szCs w:val="24"/>
        </w:rPr>
        <w:t xml:space="preserve">Choose, justify, and evaluate afterwards</w:t>
      </w:r>
    </w:p>
    <w:p>
      <w:pPr>
        <w:spacing w:after="100"/>
        <w:ind w:left="215"/>
      </w:pPr>
      <w:r>
        <w:rPr>
          <w:rFonts w:ascii="DM Sans" w:cs="DM Sans" w:eastAsia="DM Sans" w:hAnsi="DM Sans"/>
          <w:color w:val="1A2744"/>
          <w:sz w:val="21"/>
          <w:szCs w:val="21"/>
        </w:rPr>
        <w:t xml:space="preserve">Which option do you choose, and why? Agree on when you will look back at the outcome together — this is where Step 5 (Persisting) begins.</w:t>
      </w:r>
    </w:p>
    <w:p>
      <w:pPr>
        <w:pBdr>
          <w:bottom w:val="single" w:color="993556" w:sz="6" w:space="4"/>
        </w:pBdr>
        <w:spacing w:after="120" w:before="320"/>
      </w:pPr>
      <w:r>
        <w:rPr>
          <w:rFonts w:ascii="Cormorant Garamond" w:cs="Cormorant Garamond" w:eastAsia="Cormorant Garamond" w:hAnsi="Cormorant Garamond"/>
          <w:b/>
          <w:bCs/>
          <w:color w:val="993556"/>
          <w:sz w:val="28"/>
          <w:szCs w:val="28"/>
        </w:rPr>
        <w:t xml:space="preserve">Reflection questions for the debrief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2744"/>
          <w:sz w:val="21"/>
          <w:szCs w:val="21"/>
        </w:rPr>
        <w:t xml:space="preserve">At which level — micro, meso or macro — did this dilemma turn out to sit? Did your first estimate hold?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2744"/>
          <w:sz w:val="21"/>
          <w:szCs w:val="21"/>
        </w:rPr>
        <w:t xml:space="preserve">Which of the four principles weighed heaviest for you, and why?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DM Sans" w:cs="DM Sans" w:eastAsia="DM Sans" w:hAnsi="DM Sans"/>
          <w:color w:val="1A2744"/>
          <w:sz w:val="21"/>
          <w:szCs w:val="21"/>
        </w:rPr>
        <w:t xml:space="preserve">What would you have needed to make this judgment alone, without a conversation partner?</w:t>
      </w:r>
    </w:p>
    <w:p>
      <w:pPr>
        <w:pBdr>
          <w:bottom w:val="single" w:color="993556" w:sz="6" w:space="4"/>
        </w:pBdr>
        <w:spacing w:after="120" w:before="320"/>
      </w:pPr>
      <w:r>
        <w:rPr>
          <w:rFonts w:ascii="Cormorant Garamond" w:cs="Cormorant Garamond" w:eastAsia="Cormorant Garamond" w:hAnsi="Cormorant Garamond"/>
          <w:b/>
          <w:bCs/>
          <w:color w:val="993556"/>
          <w:sz w:val="28"/>
          <w:szCs w:val="28"/>
        </w:rPr>
        <w:t xml:space="preserve">Theoretical source</w:t>
      </w:r>
    </w:p>
    <w:p>
      <w:pPr>
        <w:spacing w:after="160"/>
      </w:pPr>
      <w:r>
        <w:rPr>
          <w:rFonts w:ascii="DM Sans" w:cs="DM Sans" w:eastAsia="DM Sans" w:hAnsi="DM Sans"/>
          <w:i w:val="false"/>
          <w:iCs w:val="false"/>
          <w:color w:val="1A2744"/>
          <w:sz w:val="21"/>
          <w:szCs w:val="21"/>
        </w:rPr>
        <w:t xml:space="preserve">This worksheet adapts the KNMG Ethical Toolkit (KNMG.nl) and builds on the distinction between micro-, meso- and macro-level dilemmas as described among others by dr. Kim Meijer (HAN, doctoral thesis Impossible and Inevitable, Tilburg University) — a member of this project's advisory group.</w:t>
      </w:r>
    </w:p>
    <w:p>
      <w:pPr>
        <w:pBdr>
          <w:bottom w:val="single" w:color="993556" w:sz="6" w:space="4"/>
        </w:pBdr>
        <w:spacing w:after="120" w:before="320"/>
      </w:pPr>
      <w:r>
        <w:rPr>
          <w:rFonts w:ascii="Cormorant Garamond" w:cs="Cormorant Garamond" w:eastAsia="Cormorant Garamond" w:hAnsi="Cormorant Garamond"/>
          <w:b/>
          <w:bCs/>
          <w:color w:val="993556"/>
          <w:sz w:val="28"/>
          <w:szCs w:val="28"/>
        </w:rPr>
        <w:t xml:space="preserve">Firefly beeldprompt / Firefly image prompt</w:t>
      </w:r>
    </w:p>
    <w:p>
      <w:pPr>
        <w:shd w:fill="F1EFE9" w:color="auto" w:val="clear"/>
        <w:spacing w:after="1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cinematic portrait photography, two people at a small wooden table reviewing handwritten notes together, warm afternoon light through a window, thoughtful expressions, muted pink and neutral tones, sharp subject focus, soft bokeh background, natural or dramatic lighting, high resolution, photorealistic, professional color grading, no text, no logos</w:t>
      </w:r>
    </w:p>
    <w:p>
      <w:pPr>
        <w:pBdr>
          <w:top w:val="single" w:color="D3D1C7" w:sz="4" w:space="6"/>
        </w:pBdr>
        <w:spacing w:before="300"/>
      </w:pPr>
      <w:r>
        <w:rPr>
          <w:rFonts w:ascii="DM Sans" w:cs="DM Sans" w:eastAsia="DM Sans" w:hAnsi="DM Sans"/>
          <w:i/>
          <w:iCs/>
          <w:color w:val="5F5E5A"/>
          <w:sz w:val="16"/>
          <w:szCs w:val="16"/>
        </w:rPr>
        <w:t xml:space="preserve">MV_20 · Community of Moral Craftsmanship · Ethical Practice Research Group, Fontys University of Applied Sciences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2026-07-03T21:35:23.134Z</dcterms:created>
  <dcterms:modified xsi:type="dcterms:W3CDTF">2026-07-03T21:35:23.134Z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