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993556" w:color="auto" w:val="clear"/>
            <w:tcMar>
              <w:top w:type="dxa" w:w="200"/>
              <w:left w:type="dxa" w:w="300"/>
              <w:bottom w:type="dxa" w:w="200"/>
              <w:right w:type="dxa" w:w="300"/>
            </w:tcMar>
          </w:tcPr>
          <w:p>
            <w:r>
              <w:rPr>
                <w:rFonts w:ascii="DM Sans" w:cs="DM Sans" w:eastAsia="DM Sans" w:hAnsi="DM Sans"/>
                <w:b/>
                <w:bCs/>
                <w:caps/>
                <w:color w:val="FFFFFF"/>
                <w:spacing w:val="20"/>
                <w:sz w:val="18"/>
                <w:szCs w:val="18"/>
              </w:rPr>
              <w:t xml:space="preserve">STAP 3 · WEGEN</w:t>
            </w:r>
          </w:p>
          <w:p>
            <w:pPr>
              <w:spacing w:before="60"/>
            </w:pPr>
            <w:r>
              <w:rPr>
                <w:rFonts w:ascii="Cormorant Garamond" w:cs="Cormorant Garamond" w:eastAsia="Cormorant Garamond" w:hAnsi="Cormorant Garamond"/>
                <w:b/>
                <w:bCs/>
                <w:color w:val="FFFFFF"/>
                <w:sz w:val="40"/>
                <w:szCs w:val="40"/>
              </w:rPr>
              <w:t xml:space="preserve">MV_20 · KNMG-Dilemmamethode</w:t>
            </w:r>
          </w:p>
        </w:tc>
      </w:tr>
    </w:tbl>
    <w:p>
      <w:pPr>
        <w:spacing w:after="120" w:before="240"/>
      </w:pPr>
      <w:r>
        <w:rPr>
          <w:rFonts w:ascii="Cormorant Garamond" w:cs="Cormorant Garamond" w:eastAsia="Cormorant Garamond" w:hAnsi="Cormorant Garamond"/>
          <w:i/>
          <w:iCs/>
          <w:color w:val="1A2744"/>
          <w:sz w:val="26"/>
          <w:szCs w:val="26"/>
        </w:rPr>
        <w:t xml:space="preserve">Een dilemma stap voor stap ontleden</w:t>
      </w:r>
    </w:p>
    <w:p>
      <w:pPr>
        <w:spacing w:after="60"/>
      </w:pPr>
      <w:r>
        <w:rPr>
          <w:rFonts w:ascii="DM Sans" w:cs="DM Sans" w:eastAsia="DM Sans" w:hAnsi="DM Sans"/>
          <w:b/>
          <w:bCs/>
          <w:color w:val="993556"/>
          <w:sz w:val="19"/>
          <w:szCs w:val="19"/>
        </w:rPr>
        <w:t xml:space="preserve">Duur:  </w:t>
      </w:r>
      <w:r>
        <w:rPr>
          <w:rFonts w:ascii="DM Sans" w:cs="DM Sans" w:eastAsia="DM Sans" w:hAnsi="DM Sans"/>
          <w:color w:val="5F5E5A"/>
          <w:sz w:val="19"/>
          <w:szCs w:val="19"/>
        </w:rPr>
        <w:t xml:space="preserve">45–60 minuten</w:t>
      </w:r>
    </w:p>
    <w:p>
      <w:pPr>
        <w:spacing w:after="60"/>
      </w:pPr>
      <w:r>
        <w:rPr>
          <w:rFonts w:ascii="DM Sans" w:cs="DM Sans" w:eastAsia="DM Sans" w:hAnsi="DM Sans"/>
          <w:b/>
          <w:bCs/>
          <w:color w:val="993556"/>
          <w:sz w:val="19"/>
          <w:szCs w:val="19"/>
        </w:rPr>
        <w:t xml:space="preserve">Groepsgrootte:  </w:t>
      </w:r>
      <w:r>
        <w:rPr>
          <w:rFonts w:ascii="DM Sans" w:cs="DM Sans" w:eastAsia="DM Sans" w:hAnsi="DM Sans"/>
          <w:color w:val="5F5E5A"/>
          <w:sz w:val="19"/>
          <w:szCs w:val="19"/>
        </w:rPr>
        <w:t xml:space="preserve">2–6 personen (individueel voorbereiden, gezamenlijk bespreken)</w:t>
      </w:r>
    </w:p>
    <w:p>
      <w:pPr>
        <w:spacing w:after="60"/>
      </w:pPr>
      <w:r>
        <w:rPr>
          <w:rFonts w:ascii="DM Sans" w:cs="DM Sans" w:eastAsia="DM Sans" w:hAnsi="DM Sans"/>
          <w:b/>
          <w:bCs/>
          <w:color w:val="993556"/>
          <w:sz w:val="19"/>
          <w:szCs w:val="19"/>
        </w:rPr>
        <w:t xml:space="preserve">Materiaal:  </w:t>
      </w:r>
      <w:r>
        <w:rPr>
          <w:rFonts w:ascii="DM Sans" w:cs="DM Sans" w:eastAsia="DM Sans" w:hAnsi="DM Sans"/>
          <w:color w:val="5F5E5A"/>
          <w:sz w:val="19"/>
          <w:szCs w:val="19"/>
        </w:rPr>
        <w:t xml:space="preserve">Dit werkblad, pen, eventueel een concrete casus of gesprekskaart</w:t>
      </w:r>
    </w:p>
    <w:p>
      <w:pPr>
        <w:spacing w:after="60"/>
      </w:pPr>
      <w:r>
        <w:rPr>
          <w:rFonts w:ascii="DM Sans" w:cs="DM Sans" w:eastAsia="DM Sans" w:hAnsi="DM Sans"/>
          <w:b/>
          <w:bCs/>
          <w:color w:val="993556"/>
          <w:sz w:val="19"/>
          <w:szCs w:val="19"/>
        </w:rPr>
        <w:t xml:space="preserve">Combineer met:  </w:t>
      </w:r>
      <w:r>
        <w:rPr>
          <w:rFonts w:ascii="DM Sans" w:cs="DM Sans" w:eastAsia="DM Sans" w:hAnsi="DM Sans"/>
          <w:color w:val="5F5E5A"/>
          <w:sz w:val="19"/>
          <w:szCs w:val="19"/>
        </w:rPr>
        <w:t xml:space="preserve">Moreel Beraad (Stap 3) · Vertrouwenspiegel (Stap 3) · MV_18 Moral Crossroads</w:t>
      </w:r>
    </w:p>
    <w:p>
      <w:pPr>
        <w:pBdr>
          <w:bottom w:val="single" w:color="993556" w:sz="6" w:space="4"/>
        </w:pBdr>
        <w:spacing w:after="120" w:before="320"/>
      </w:pPr>
      <w:r>
        <w:rPr>
          <w:rFonts w:ascii="Cormorant Garamond" w:cs="Cormorant Garamond" w:eastAsia="Cormorant Garamond" w:hAnsi="Cormorant Garamond"/>
          <w:b/>
          <w:bCs/>
          <w:color w:val="993556"/>
          <w:sz w:val="28"/>
          <w:szCs w:val="28"/>
        </w:rPr>
        <w:t xml:space="preserve">Waarom deze methode</w:t>
      </w:r>
    </w:p>
    <w:p>
      <w:pPr>
        <w:spacing w:after="160"/>
      </w:pPr>
      <w:r>
        <w:rPr>
          <w:rFonts w:ascii="DM Sans" w:cs="DM Sans" w:eastAsia="DM Sans" w:hAnsi="DM Sans"/>
          <w:i w:val="false"/>
          <w:iCs w:val="false"/>
          <w:color w:val="1A2744"/>
          <w:sz w:val="21"/>
          <w:szCs w:val="21"/>
        </w:rPr>
        <w:t xml:space="preserve">De KNMG-dilemmamethode is oorspronkelijk ontwikkeld binnen de medische ethiek, als hulpmiddel om artsen en geneeskundestudenten een dilemma systematisch te laten ontleden voordat er een keuze wordt gemaakt. Voor het Model Moreel Vakmanschap is de methode losgemaakt van het medische domein: de stappen werken net zo goed bij een dilemma op de HR-afdeling, in het onderwijs of in de zorg voor cliënten.</w:t>
      </w:r>
    </w:p>
    <w:p>
      <w:pPr>
        <w:spacing w:after="160"/>
      </w:pPr>
      <w:r>
        <w:rPr>
          <w:rFonts w:ascii="DM Sans" w:cs="DM Sans" w:eastAsia="DM Sans" w:hAnsi="DM Sans"/>
          <w:i w:val="false"/>
          <w:iCs w:val="false"/>
          <w:color w:val="1A2744"/>
          <w:sz w:val="21"/>
          <w:szCs w:val="21"/>
        </w:rPr>
        <w:t xml:space="preserve">Waar de gesprekskaarten vooral een ontmoeting met een dilemma losmaken (Zien en Voelen), biedt deze methode houvast bij het echte wegen: feiten, betrokkenen, opties en argumenten naast elkaar zetten, zonder de complexiteit plat te slaan.</w:t>
      </w:r>
    </w:p>
    <w:p>
      <w:pPr>
        <w:pBdr>
          <w:bottom w:val="single" w:color="993556" w:sz="6" w:space="4"/>
        </w:pBdr>
        <w:spacing w:after="120" w:before="320"/>
      </w:pPr>
      <w:r>
        <w:rPr>
          <w:rFonts w:ascii="Cormorant Garamond" w:cs="Cormorant Garamond" w:eastAsia="Cormorant Garamond" w:hAnsi="Cormorant Garamond"/>
          <w:b/>
          <w:bCs/>
          <w:color w:val="993556"/>
          <w:sz w:val="28"/>
          <w:szCs w:val="28"/>
        </w:rPr>
        <w:t xml:space="preserve">Voorbereiding: bepaal het niveau</w:t>
      </w:r>
    </w:p>
    <w:p>
      <w:pPr>
        <w:spacing w:after="160"/>
      </w:pPr>
      <w:r>
        <w:rPr>
          <w:rFonts w:ascii="DM Sans" w:cs="DM Sans" w:eastAsia="DM Sans" w:hAnsi="DM Sans"/>
          <w:i w:val="false"/>
          <w:iCs w:val="false"/>
          <w:color w:val="1A2744"/>
          <w:sz w:val="21"/>
          <w:szCs w:val="21"/>
        </w:rPr>
        <w:t xml:space="preserve">Voordat je de stappen doorloopt, is het zinvol te bepalen op welk niveau het dilemma zich afspeelt. Dit bepaalt hoeveel partijen, belangen en onzekerheid er meespelen — en dus hoeveel tijd de weging verdient.</w:t>
      </w:r>
    </w:p>
    <w:p>
      <w:pPr>
        <w:pStyle w:val="ListParagraph"/>
        <w:numPr>
          <w:ilvl w:val="0"/>
          <w:numId w:val="2"/>
        </w:numPr>
        <w:spacing w:after="60"/>
      </w:pPr>
      <w:r>
        <w:rPr>
          <w:rFonts w:ascii="DM Sans" w:cs="DM Sans" w:eastAsia="DM Sans" w:hAnsi="DM Sans"/>
          <w:color w:val="1A2744"/>
          <w:sz w:val="21"/>
          <w:szCs w:val="21"/>
        </w:rPr>
        <w:t xml:space="preserve">★ Micro — een directe, persoonlijke keuze tussen twee waarden (bijv. collegialiteit versus eerlijkheid).</w:t>
      </w:r>
    </w:p>
    <w:p>
      <w:pPr>
        <w:pStyle w:val="ListParagraph"/>
        <w:numPr>
          <w:ilvl w:val="0"/>
          <w:numId w:val="2"/>
        </w:numPr>
        <w:spacing w:after="60"/>
      </w:pPr>
      <w:r>
        <w:rPr>
          <w:rFonts w:ascii="DM Sans" w:cs="DM Sans" w:eastAsia="DM Sans" w:hAnsi="DM Sans"/>
          <w:color w:val="1A2744"/>
          <w:sz w:val="21"/>
          <w:szCs w:val="21"/>
        </w:rPr>
        <w:t xml:space="preserve">★★ Meso — spanning tussen persoonlijke waarden en de regels, cultuur of belangen van een organisatie.</w:t>
      </w:r>
    </w:p>
    <w:p>
      <w:pPr>
        <w:pStyle w:val="ListParagraph"/>
        <w:numPr>
          <w:ilvl w:val="0"/>
          <w:numId w:val="2"/>
        </w:numPr>
        <w:spacing w:after="60"/>
      </w:pPr>
      <w:r>
        <w:rPr>
          <w:rFonts w:ascii="DM Sans" w:cs="DM Sans" w:eastAsia="DM Sans" w:hAnsi="DM Sans"/>
          <w:color w:val="1A2744"/>
          <w:sz w:val="21"/>
          <w:szCs w:val="21"/>
        </w:rPr>
        <w:t xml:space="preserve">★★★ Macro — een systemisch vraagstuk waarin wetgeving, politiek en maatschappelijke belangen samenkomen; geen eenduidig goed antwoord.</w:t>
      </w:r>
    </w:p>
    <w:p>
      <w:pPr>
        <w:spacing w:after="160"/>
      </w:pPr>
      <w:r>
        <w:rPr>
          <w:rFonts w:ascii="DM Sans" w:cs="DM Sans" w:eastAsia="DM Sans" w:hAnsi="DM Sans"/>
          <w:i/>
          <w:iCs/>
          <w:color w:val="1A2744"/>
          <w:sz w:val="21"/>
          <w:szCs w:val="21"/>
        </w:rPr>
        <w:t xml:space="preserve">Deze niveau-indeling keert terug bij elke gesprekskaart in de bibliotheek — zo weet je vooraf hoeveel gewicht een dilemma draagt.</w:t>
      </w:r>
    </w:p>
    <w:p>
      <w:pPr>
        <w:pBdr>
          <w:bottom w:val="single" w:color="993556" w:sz="6" w:space="4"/>
        </w:pBdr>
        <w:spacing w:after="120" w:before="320"/>
      </w:pPr>
      <w:r>
        <w:rPr>
          <w:rFonts w:ascii="Cormorant Garamond" w:cs="Cormorant Garamond" w:eastAsia="Cormorant Garamond" w:hAnsi="Cormorant Garamond"/>
          <w:b/>
          <w:bCs/>
          <w:color w:val="993556"/>
          <w:sz w:val="28"/>
          <w:szCs w:val="28"/>
        </w:rPr>
        <w:t xml:space="preserve">De methode in zes stappen</w:t>
      </w:r>
    </w:p>
    <w:p>
      <w:pPr>
        <w:spacing w:after="40" w:before="200"/>
      </w:pPr>
      <w:r>
        <w:rPr>
          <w:rFonts w:ascii="Cormorant Garamond" w:cs="Cormorant Garamond" w:eastAsia="Cormorant Garamond" w:hAnsi="Cormorant Garamond"/>
          <w:b/>
          <w:bCs/>
          <w:color w:val="993556"/>
          <w:sz w:val="24"/>
          <w:szCs w:val="24"/>
        </w:rPr>
        <w:t xml:space="preserve">1. </w:t>
      </w:r>
      <w:r>
        <w:rPr>
          <w:rFonts w:ascii="Cormorant Garamond" w:cs="Cormorant Garamond" w:eastAsia="Cormorant Garamond" w:hAnsi="Cormorant Garamond"/>
          <w:b/>
          <w:bCs/>
          <w:color w:val="1A2744"/>
          <w:sz w:val="24"/>
          <w:szCs w:val="24"/>
        </w:rPr>
        <w:t xml:space="preserve">Beschrijf het dilemma</w:t>
      </w:r>
    </w:p>
    <w:p>
      <w:pPr>
        <w:spacing w:after="100"/>
        <w:ind w:left="215"/>
      </w:pPr>
      <w:r>
        <w:rPr>
          <w:rFonts w:ascii="DM Sans" w:cs="DM Sans" w:eastAsia="DM Sans" w:hAnsi="DM Sans"/>
          <w:color w:val="1A2744"/>
          <w:sz w:val="21"/>
          <w:szCs w:val="21"/>
        </w:rPr>
        <w:t xml:space="preserve">Formuleer de situatie zo feitelijk mogelijk, in één of twee zinnen. Nog geen oordeel — alleen wat er speelt.</w:t>
      </w:r>
    </w:p>
    <w:p>
      <w:pPr>
        <w:spacing w:after="40" w:before="200"/>
      </w:pPr>
      <w:r>
        <w:rPr>
          <w:rFonts w:ascii="Cormorant Garamond" w:cs="Cormorant Garamond" w:eastAsia="Cormorant Garamond" w:hAnsi="Cormorant Garamond"/>
          <w:b/>
          <w:bCs/>
          <w:color w:val="993556"/>
          <w:sz w:val="24"/>
          <w:szCs w:val="24"/>
        </w:rPr>
        <w:t xml:space="preserve">2. </w:t>
      </w:r>
      <w:r>
        <w:rPr>
          <w:rFonts w:ascii="Cormorant Garamond" w:cs="Cormorant Garamond" w:eastAsia="Cormorant Garamond" w:hAnsi="Cormorant Garamond"/>
          <w:b/>
          <w:bCs/>
          <w:color w:val="1A2744"/>
          <w:sz w:val="24"/>
          <w:szCs w:val="24"/>
        </w:rPr>
        <w:t xml:space="preserve">Verzamel de feiten</w:t>
      </w:r>
    </w:p>
    <w:p>
      <w:pPr>
        <w:spacing w:after="100"/>
        <w:ind w:left="215"/>
      </w:pPr>
      <w:r>
        <w:rPr>
          <w:rFonts w:ascii="DM Sans" w:cs="DM Sans" w:eastAsia="DM Sans" w:hAnsi="DM Sans"/>
          <w:color w:val="1A2744"/>
          <w:sz w:val="21"/>
          <w:szCs w:val="21"/>
        </w:rPr>
        <w:t xml:space="preserve">Wat weet je zeker? Wat is aanname of interpretatie? Scheid dit expliciet van elkaar.</w:t>
      </w:r>
    </w:p>
    <w:p>
      <w:pPr>
        <w:spacing w:after="40" w:before="200"/>
      </w:pPr>
      <w:r>
        <w:rPr>
          <w:rFonts w:ascii="Cormorant Garamond" w:cs="Cormorant Garamond" w:eastAsia="Cormorant Garamond" w:hAnsi="Cormorant Garamond"/>
          <w:b/>
          <w:bCs/>
          <w:color w:val="993556"/>
          <w:sz w:val="24"/>
          <w:szCs w:val="24"/>
        </w:rPr>
        <w:t xml:space="preserve">3. </w:t>
      </w:r>
      <w:r>
        <w:rPr>
          <w:rFonts w:ascii="Cormorant Garamond" w:cs="Cormorant Garamond" w:eastAsia="Cormorant Garamond" w:hAnsi="Cormorant Garamond"/>
          <w:b/>
          <w:bCs/>
          <w:color w:val="1A2744"/>
          <w:sz w:val="24"/>
          <w:szCs w:val="24"/>
        </w:rPr>
        <w:t xml:space="preserve">Breng de betrokkenen en hun belangen in kaart</w:t>
      </w:r>
    </w:p>
    <w:p>
      <w:pPr>
        <w:spacing w:after="100"/>
        <w:ind w:left="215"/>
      </w:pPr>
      <w:r>
        <w:rPr>
          <w:rFonts w:ascii="DM Sans" w:cs="DM Sans" w:eastAsia="DM Sans" w:hAnsi="DM Sans"/>
          <w:color w:val="1A2744"/>
          <w:sz w:val="21"/>
          <w:szCs w:val="21"/>
        </w:rPr>
        <w:t xml:space="preserve">Wie heeft er iets te winnen of te verliezen bij welke uitkomst? Vergeet de stille stakeholders niet.</w:t>
      </w:r>
    </w:p>
    <w:p>
      <w:pPr>
        <w:spacing w:after="40" w:before="200"/>
      </w:pPr>
      <w:r>
        <w:rPr>
          <w:rFonts w:ascii="Cormorant Garamond" w:cs="Cormorant Garamond" w:eastAsia="Cormorant Garamond" w:hAnsi="Cormorant Garamond"/>
          <w:b/>
          <w:bCs/>
          <w:color w:val="993556"/>
          <w:sz w:val="24"/>
          <w:szCs w:val="24"/>
        </w:rPr>
        <w:t xml:space="preserve">4. </w:t>
      </w:r>
      <w:r>
        <w:rPr>
          <w:rFonts w:ascii="Cormorant Garamond" w:cs="Cormorant Garamond" w:eastAsia="Cormorant Garamond" w:hAnsi="Cormorant Garamond"/>
          <w:b/>
          <w:bCs/>
          <w:color w:val="1A2744"/>
          <w:sz w:val="24"/>
          <w:szCs w:val="24"/>
        </w:rPr>
        <w:t xml:space="preserve">Formuleer minimaal twee handelingsopties</w:t>
      </w:r>
    </w:p>
    <w:p>
      <w:pPr>
        <w:spacing w:after="100"/>
        <w:ind w:left="215"/>
      </w:pPr>
      <w:r>
        <w:rPr>
          <w:rFonts w:ascii="DM Sans" w:cs="DM Sans" w:eastAsia="DM Sans" w:hAnsi="DM Sans"/>
          <w:color w:val="1A2744"/>
          <w:sz w:val="21"/>
          <w:szCs w:val="21"/>
        </w:rPr>
        <w:t xml:space="preserve">Voorkom een vals dilemma van maar twee uitersten — zoek ook een derde weg.</w:t>
      </w:r>
    </w:p>
    <w:p>
      <w:pPr>
        <w:spacing w:after="40" w:before="200"/>
      </w:pPr>
      <w:r>
        <w:rPr>
          <w:rFonts w:ascii="Cormorant Garamond" w:cs="Cormorant Garamond" w:eastAsia="Cormorant Garamond" w:hAnsi="Cormorant Garamond"/>
          <w:b/>
          <w:bCs/>
          <w:color w:val="993556"/>
          <w:sz w:val="24"/>
          <w:szCs w:val="24"/>
        </w:rPr>
        <w:t xml:space="preserve">5. </w:t>
      </w:r>
      <w:r>
        <w:rPr>
          <w:rFonts w:ascii="Cormorant Garamond" w:cs="Cormorant Garamond" w:eastAsia="Cormorant Garamond" w:hAnsi="Cormorant Garamond"/>
          <w:b/>
          <w:bCs/>
          <w:color w:val="1A2744"/>
          <w:sz w:val="24"/>
          <w:szCs w:val="24"/>
        </w:rPr>
        <w:t xml:space="preserve">Weeg de opties langs vier ethische principes</w:t>
      </w:r>
    </w:p>
    <w:p>
      <w:pPr>
        <w:spacing w:after="100"/>
        <w:ind w:left="215"/>
      </w:pPr>
      <w:r>
        <w:rPr>
          <w:rFonts w:ascii="DM Sans" w:cs="DM Sans" w:eastAsia="DM Sans" w:hAnsi="DM Sans"/>
          <w:color w:val="1A2744"/>
          <w:sz w:val="21"/>
          <w:szCs w:val="21"/>
        </w:rPr>
        <w:t xml:space="preserve">Autonomie, weldoen, niet-schaden en rechtvaardigheid. Welke optie doet het meeste recht aan alle vier, en waar wringt het?</w:t>
      </w:r>
    </w:p>
    <w:p>
      <w:pPr>
        <w:spacing w:after="40" w:before="200"/>
      </w:pPr>
      <w:r>
        <w:rPr>
          <w:rFonts w:ascii="Cormorant Garamond" w:cs="Cormorant Garamond" w:eastAsia="Cormorant Garamond" w:hAnsi="Cormorant Garamond"/>
          <w:b/>
          <w:bCs/>
          <w:color w:val="993556"/>
          <w:sz w:val="24"/>
          <w:szCs w:val="24"/>
        </w:rPr>
        <w:t xml:space="preserve">6. </w:t>
      </w:r>
      <w:r>
        <w:rPr>
          <w:rFonts w:ascii="Cormorant Garamond" w:cs="Cormorant Garamond" w:eastAsia="Cormorant Garamond" w:hAnsi="Cormorant Garamond"/>
          <w:b/>
          <w:bCs/>
          <w:color w:val="1A2744"/>
          <w:sz w:val="24"/>
          <w:szCs w:val="24"/>
        </w:rPr>
        <w:t xml:space="preserve">Kies, motiveer en evalueer achteraf</w:t>
      </w:r>
    </w:p>
    <w:p>
      <w:pPr>
        <w:spacing w:after="100"/>
        <w:ind w:left="215"/>
      </w:pPr>
      <w:r>
        <w:rPr>
          <w:rFonts w:ascii="DM Sans" w:cs="DM Sans" w:eastAsia="DM Sans" w:hAnsi="DM Sans"/>
          <w:color w:val="1A2744"/>
          <w:sz w:val="21"/>
          <w:szCs w:val="21"/>
        </w:rPr>
        <w:t xml:space="preserve">Welke optie kies je, en waarom? Spreek af wanneer je de uitkomst samen terugkijkt — dit is waar Stap 5 (Volhouden) begint.</w:t>
      </w:r>
    </w:p>
    <w:p>
      <w:pPr>
        <w:pBdr>
          <w:bottom w:val="single" w:color="993556" w:sz="6" w:space="4"/>
        </w:pBdr>
        <w:spacing w:after="120" w:before="320"/>
      </w:pPr>
      <w:r>
        <w:rPr>
          <w:rFonts w:ascii="Cormorant Garamond" w:cs="Cormorant Garamond" w:eastAsia="Cormorant Garamond" w:hAnsi="Cormorant Garamond"/>
          <w:b/>
          <w:bCs/>
          <w:color w:val="993556"/>
          <w:sz w:val="28"/>
          <w:szCs w:val="28"/>
        </w:rPr>
        <w:t xml:space="preserve">Reflectievragen voor de nabespreking</w:t>
      </w:r>
    </w:p>
    <w:p>
      <w:pPr>
        <w:pStyle w:val="ListParagraph"/>
        <w:numPr>
          <w:ilvl w:val="0"/>
          <w:numId w:val="2"/>
        </w:numPr>
        <w:spacing w:after="60"/>
      </w:pPr>
      <w:r>
        <w:rPr>
          <w:rFonts w:ascii="DM Sans" w:cs="DM Sans" w:eastAsia="DM Sans" w:hAnsi="DM Sans"/>
          <w:color w:val="1A2744"/>
          <w:sz w:val="21"/>
          <w:szCs w:val="21"/>
        </w:rPr>
        <w:t xml:space="preserve">Op welk niveau — micro, meso of macro — bleek dit dilemma achteraf te zitten? Klopte je eerste inschatting?</w:t>
      </w:r>
    </w:p>
    <w:p>
      <w:pPr>
        <w:pStyle w:val="ListParagraph"/>
        <w:numPr>
          <w:ilvl w:val="0"/>
          <w:numId w:val="2"/>
        </w:numPr>
        <w:spacing w:after="60"/>
      </w:pPr>
      <w:r>
        <w:rPr>
          <w:rFonts w:ascii="DM Sans" w:cs="DM Sans" w:eastAsia="DM Sans" w:hAnsi="DM Sans"/>
          <w:color w:val="1A2744"/>
          <w:sz w:val="21"/>
          <w:szCs w:val="21"/>
        </w:rPr>
        <w:t xml:space="preserve">Welk van de vier principes woog voor jou het zwaarst, en waarom?</w:t>
      </w:r>
    </w:p>
    <w:p>
      <w:pPr>
        <w:pStyle w:val="ListParagraph"/>
        <w:numPr>
          <w:ilvl w:val="0"/>
          <w:numId w:val="2"/>
        </w:numPr>
        <w:spacing w:after="60"/>
      </w:pPr>
      <w:r>
        <w:rPr>
          <w:rFonts w:ascii="DM Sans" w:cs="DM Sans" w:eastAsia="DM Sans" w:hAnsi="DM Sans"/>
          <w:color w:val="1A2744"/>
          <w:sz w:val="21"/>
          <w:szCs w:val="21"/>
        </w:rPr>
        <w:t xml:space="preserve">Wat had je nodig gehad om deze afweging alleen te maken, zonder gesprekspartner?</w:t>
      </w:r>
    </w:p>
    <w:p>
      <w:pPr>
        <w:pBdr>
          <w:bottom w:val="single" w:color="993556" w:sz="6" w:space="4"/>
        </w:pBdr>
        <w:spacing w:after="120" w:before="320"/>
      </w:pPr>
      <w:r>
        <w:rPr>
          <w:rFonts w:ascii="Cormorant Garamond" w:cs="Cormorant Garamond" w:eastAsia="Cormorant Garamond" w:hAnsi="Cormorant Garamond"/>
          <w:b/>
          <w:bCs/>
          <w:color w:val="993556"/>
          <w:sz w:val="28"/>
          <w:szCs w:val="28"/>
        </w:rPr>
        <w:t xml:space="preserve">Theoretische bron</w:t>
      </w:r>
    </w:p>
    <w:p>
      <w:pPr>
        <w:spacing w:after="160"/>
      </w:pPr>
      <w:r>
        <w:rPr>
          <w:rFonts w:ascii="DM Sans" w:cs="DM Sans" w:eastAsia="DM Sans" w:hAnsi="DM Sans"/>
          <w:i w:val="false"/>
          <w:iCs w:val="false"/>
          <w:color w:val="1A2744"/>
          <w:sz w:val="21"/>
          <w:szCs w:val="21"/>
        </w:rPr>
        <w:t xml:space="preserve">Deze werkvorm is een bewerking van de KNMG Ethische Toolkit (KNMG.nl) en sluit aan bij het onderscheid tussen micro-, meso- en macro-dilemma's zoals onder meer beschreven door dr. Kim Meijer (Han, proefschrift Impossible and Inevitable, Tilburg University) — lid van de klankbordgroep van dit project.</w:t>
      </w:r>
    </w:p>
    <w:p>
      <w:pPr>
        <w:pBdr>
          <w:bottom w:val="single" w:color="993556" w:sz="6" w:space="4"/>
        </w:pBdr>
        <w:spacing w:after="120" w:before="320"/>
      </w:pPr>
      <w:r>
        <w:rPr>
          <w:rFonts w:ascii="Cormorant Garamond" w:cs="Cormorant Garamond" w:eastAsia="Cormorant Garamond" w:hAnsi="Cormorant Garamond"/>
          <w:b/>
          <w:bCs/>
          <w:color w:val="993556"/>
          <w:sz w:val="28"/>
          <w:szCs w:val="28"/>
        </w:rPr>
        <w:t xml:space="preserve">Firefly beeldprompt / Firefly image prompt</w:t>
      </w:r>
    </w:p>
    <w:p>
      <w:pPr>
        <w:shd w:fill="F1EFE9" w:color="auto" w:val="clear"/>
        <w:spacing w:after="160"/>
      </w:pPr>
      <w:r>
        <w:rPr>
          <w:rFonts w:ascii="Courier New" w:cs="Courier New" w:eastAsia="Courier New" w:hAnsi="Courier New"/>
          <w:color w:val="5F5E5A"/>
          <w:sz w:val="18"/>
          <w:szCs w:val="18"/>
        </w:rPr>
        <w:t xml:space="preserve">cinematic portrait photography, two people at a small wooden table reviewing handwritten notes together, warm afternoon light through a window, thoughtful expressions, muted pink and neutral tones, sharp subject focus, soft bokeh background, natural or dramatic lighting, high resolution, photorealistic, professional color grading, no text, no logos</w:t>
      </w:r>
    </w:p>
    <w:p>
      <w:pPr>
        <w:pBdr>
          <w:top w:val="single" w:color="D3D1C7" w:sz="4" w:space="6"/>
        </w:pBdr>
        <w:spacing w:before="300"/>
      </w:pPr>
      <w:r>
        <w:rPr>
          <w:rFonts w:ascii="DM Sans" w:cs="DM Sans" w:eastAsia="DM Sans" w:hAnsi="DM Sans"/>
          <w:i/>
          <w:iCs/>
          <w:color w:val="5F5E5A"/>
          <w:sz w:val="16"/>
          <w:szCs w:val="16"/>
        </w:rPr>
        <w:t xml:space="preserve">MV_20 · Community Moreel Vakmanschap · Lectoraat Ethisch Werken, Fontys Hogescholen</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2026-07-03T21:35:23.125Z</dcterms:created>
  <dcterms:modified xsi:type="dcterms:W3CDTF">2026-07-03T21:35:23.125Z</dcterms:modified>
</cp:coreProperties>
</file>

<file path=docProps/custom.xml><?xml version="1.0" encoding="utf-8"?>
<Properties xmlns="http://schemas.openxmlformats.org/officeDocument/2006/custom-properties" xmlns:vt="http://schemas.openxmlformats.org/officeDocument/2006/docPropsVTypes"/>
</file>