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08A1E" w:sz="24"/>
              <w:right w:val="none" w:color="FFFFFF" w:sz="0"/>
            </w:tcBorders>
            <w:shd w:fill="1F3A5F"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MW02 — MORAL CASE DELIBERATION · HRM</w:t>
            </w:r>
          </w:p>
          <w:p>
            <w:pPr>
              <w:spacing w:after="40" w:line="250"/>
            </w:pPr>
            <w:r>
              <w:rPr>
                <w:rFonts w:ascii="Arial" w:cs="Arial" w:eastAsia="Arial" w:hAnsi="Arial"/>
                <w:b/>
                <w:bCs/>
                <w:color w:val="FFFFFF"/>
                <w:sz w:val="34"/>
                <w:szCs w:val="34"/>
              </w:rPr>
              <w:t xml:space="preserve">Dilemma deliberation: the reorganisation</w:t>
            </w:r>
          </w:p>
          <w:p>
            <w:pPr>
              <w:spacing w:after="0"/>
            </w:pPr>
            <w:r>
              <w:rPr>
                <w:rFonts w:ascii="Arial" w:cs="Arial" w:eastAsia="Arial" w:hAnsi="Arial"/>
                <w:color w:val="DDE6F0"/>
                <w:sz w:val="19"/>
                <w:szCs w:val="19"/>
              </w:rPr>
              <w:t xml:space="preserve">Case: Greenwood Logistics</w:t>
            </w:r>
          </w:p>
        </w:tc>
        <w:tc>
          <w:tcPr>
            <w:tcW w:type="dxa" w:w="2606"/>
            <w:tcBorders>
              <w:top w:val="none" w:color="FFFFFF" w:sz="0"/>
              <w:left w:val="none" w:color="FFFFFF" w:sz="0"/>
              <w:bottom w:val="single" w:color="E08A1E"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ACTING </w:t>
      </w:r>
      <w:r>
        <w:rPr>
          <w:rFonts w:ascii="Arial" w:cs="Arial" w:eastAsia="Arial" w:hAnsi="Arial"/>
          <w:sz w:val="17"/>
          <w:szCs w:val="17"/>
        </w:rPr>
        <w:t xml:space="preserve">  </w:t>
      </w:r>
      <w:r>
        <w:rPr>
          <w:rFonts w:ascii="Arial" w:cs="Arial" w:eastAsia="Arial" w:hAnsi="Arial"/>
          <w:color w:val="5F5E5A"/>
          <w:sz w:val="17"/>
          <w:szCs w:val="17"/>
        </w:rPr>
        <w:t xml:space="preserve">     Time: 60 min     Group: 4–5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08A1E" w:sz="6"/>
              <w:left w:val="single" w:color="E08A1E" w:sz="6"/>
              <w:bottom w:val="single" w:color="E08A1E" w:sz="6"/>
              <w:right w:val="single" w:color="E08A1E"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AF0F6"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It is Tuesday evening, a quarter to seven. Noor Hendriks, HR adviser at Greenwood Logistics, is the last one left in the department. Tomorrow at nine she will present the final list for the reorganisation to the management team. Of the 120 employees in the warehouse and planning department, eighteen have to leave. The redundancy agreement is clear: within each job group and age category, the person with the shortest length of service leaves first.</w:t>
            </w:r>
          </w:p>
          <w:p>
            <w:pPr>
              <w:spacing w:after="100" w:line="288"/>
            </w:pPr>
            <w:r>
              <w:rPr>
                <w:rFonts w:ascii="Arial" w:cs="Arial" w:eastAsia="Arial" w:hAnsi="Arial"/>
                <w:sz w:val="21"/>
                <w:szCs w:val="21"/>
              </w:rPr>
              <w:t xml:space="preserve">That is why Sem is on the list. He is twenty-four, has worked there for two years and is the only planner who really understands the new planning system. This afternoon Peter de Wit, director of operations, called. “Without Sem, planning will grind to a halt in the peak season,” he said. “Take him off the list. We’ll find a reason.” Two team leaders also asked Noor to “think along for a moment”.</w:t>
            </w:r>
          </w:p>
          <w:p>
            <w:pPr>
              <w:spacing w:after="40" w:line="288"/>
            </w:pPr>
            <w:r>
              <w:rPr>
                <w:rFonts w:ascii="Arial" w:cs="Arial" w:eastAsia="Arial" w:hAnsi="Arial"/>
                <w:sz w:val="21"/>
                <w:szCs w:val="21"/>
              </w:rPr>
              <w:t xml:space="preserve">If Sem stays, a colleague with longer service has to leave: Rob, fifty-nine, fourteen years with the company. His chances of finding a new job are slim. Noor knows that the employee council checks the list. She also knows that without Sem’s knowledge the company could get into real trouble. What will she put on the table tomorrow?</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on your own. Underline what Noor has to decide.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Formulate the dilemma as a choice between two options: A or B.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For each option, fill in which values are at stake, which norms or rules apply and who faces which consequence or harm.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Make your own choice before the discussion. Write down in one sentence why.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Discuss in your group. Listen first, then ask follow-up questions. Only respond to someone else’s choice once everyone has spoken.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Decide together what Noor will say in tomorrow’s meeting. Write it down in one sentence.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STEP 2 — THE DILEMMA</w:t>
      </w:r>
    </w:p>
    <w:p>
      <w:pPr>
        <w:spacing w:after="0"/>
      </w:pPr>
      <w:r>
        <w:rPr>
          <w:rFonts w:ascii="Arial" w:cs="Arial" w:eastAsia="Arial" w:hAnsi="Arial"/>
          <w:b/>
          <w:bCs/>
          <w:sz w:val="20"/>
          <w:szCs w:val="20"/>
        </w:rPr>
        <w:t xml:space="preserve">Noor has to choose between  A:</w:t>
      </w:r>
    </w:p>
    <w:p>
      <w:pPr>
        <w:pBdr>
          <w:bottom w:val="single" w:color="C9CED4" w:sz="4" w:space="1"/>
        </w:pBdr>
        <w:spacing w:after="0" w:before="0" w:line="340" w:lineRule="exact"/>
        <w:ind w:right="0"/>
      </w:pPr>
      <w:r>
        <w:rPr>
          <w:rFonts w:ascii="Arial" w:cs="Arial" w:eastAsia="Arial" w:hAnsi="Arial"/>
          <w:sz w:val="21"/>
          <w:szCs w:val="21"/>
        </w:rPr>
        <w:t xml:space="preserve"/>
      </w:r>
    </w:p>
    <w:p>
      <w:pPr>
        <w:spacing w:after="0"/>
      </w:pPr>
      <w:r>
        <w:rPr>
          <w:rFonts w:ascii="Arial" w:cs="Arial" w:eastAsia="Arial" w:hAnsi="Arial"/>
          <w:b/>
          <w:bCs/>
          <w:sz w:val="20"/>
          <w:szCs w:val="20"/>
        </w:rPr>
        <w:t xml:space="preserve">and  B:</w:t>
      </w:r>
    </w:p>
    <w:p>
      <w:pPr>
        <w:pBdr>
          <w:bottom w:val="single" w:color="C9CED4" w:sz="4" w:space="1"/>
        </w:pBdr>
        <w:spacing w:after="0" w:before="0" w:line="34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STEP 3 — THE WEIGHING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6"/>
        <w:gridCol w:w="4100"/>
        <w:gridCol w:w="4100"/>
      </w:tblGrid>
      <w:tr>
        <w:trPr>
          <w:tblHeader/>
        </w:trPr>
        <w:tc>
          <w:tcPr>
            <w:tcW w:type="dxa" w:w="1706"/>
            <w:tcBorders>
              <w:top w:val="single" w:color="BFC5CC" w:sz="4"/>
              <w:left w:val="single" w:color="BFC5CC" w:sz="4"/>
              <w:bottom w:val="single" w:color="BFC5CC" w:sz="4"/>
              <w:right w:val="single" w:color="BFC5CC" w:sz="4"/>
            </w:tcBorders>
            <w:shd w:fill="1F3A5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4100"/>
            <w:tcBorders>
              <w:top w:val="single" w:color="BFC5CC" w:sz="4"/>
              <w:left w:val="single" w:color="BFC5CC" w:sz="4"/>
              <w:bottom w:val="single" w:color="BFC5CC" w:sz="4"/>
              <w:right w:val="single" w:color="BFC5CC" w:sz="4"/>
            </w:tcBorders>
            <w:shd w:fill="1F3A5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Option A: …</w:t>
            </w:r>
          </w:p>
        </w:tc>
        <w:tc>
          <w:tcPr>
            <w:tcW w:type="dxa" w:w="4100"/>
            <w:tcBorders>
              <w:top w:val="single" w:color="BFC5CC" w:sz="4"/>
              <w:left w:val="single" w:color="BFC5CC" w:sz="4"/>
              <w:bottom w:val="single" w:color="BFC5CC" w:sz="4"/>
              <w:right w:val="single" w:color="BFC5CC" w:sz="4"/>
            </w:tcBorders>
            <w:shd w:fill="1F3A5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Option B: …</w:t>
            </w:r>
          </w:p>
        </w:tc>
      </w:tr>
      <w:tr>
        <w:trPr>
          <w:trHeight w:val="880" w:hRule="atLeast"/>
        </w:trPr>
        <w:tc>
          <w:tcPr>
            <w:tcW w:type="dxa" w:w="1706"/>
            <w:tcBorders>
              <w:top w:val="single" w:color="BFC5CC" w:sz="4"/>
              <w:left w:val="single" w:color="BFC5CC" w:sz="4"/>
              <w:bottom w:val="single" w:color="BFC5CC" w:sz="4"/>
              <w:right w:val="single" w:color="BFC5CC" w:sz="4"/>
            </w:tcBorders>
            <w:shd w:fill="EAF0F6" w:color="auto" w:val="clear"/>
            <w:tcMar>
              <w:top w:type="dxa" w:w="80"/>
              <w:left w:type="dxa" w:w="110"/>
              <w:bottom w:type="dxa" w:w="80"/>
              <w:right w:type="dxa" w:w="110"/>
            </w:tcMar>
          </w:tcPr>
          <w:p>
            <w:pPr>
              <w:spacing w:after="20"/>
            </w:pPr>
            <w:r>
              <w:rPr>
                <w:rFonts w:ascii="Arial" w:cs="Arial" w:eastAsia="Arial" w:hAnsi="Arial"/>
                <w:b/>
                <w:bCs/>
                <w:color w:val="1F3A5F"/>
                <w:sz w:val="19"/>
                <w:szCs w:val="19"/>
              </w:rPr>
              <w:t xml:space="preserve">Values</w:t>
            </w:r>
          </w:p>
          <w:p>
            <w:pPr>
              <w:spacing w:after="0" w:line="220"/>
            </w:pPr>
            <w:r>
              <w:rPr>
                <w:rFonts w:ascii="Arial" w:cs="Arial" w:eastAsia="Arial" w:hAnsi="Arial"/>
                <w:i/>
                <w:iCs/>
                <w:color w:val="5F5E5A"/>
                <w:sz w:val="15"/>
                <w:szCs w:val="15"/>
              </w:rPr>
              <w:t xml:space="preserve">What do you consider important here?</w:t>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880" w:hRule="atLeast"/>
        </w:trPr>
        <w:tc>
          <w:tcPr>
            <w:tcW w:type="dxa" w:w="1706"/>
            <w:tcBorders>
              <w:top w:val="single" w:color="BFC5CC" w:sz="4"/>
              <w:left w:val="single" w:color="BFC5CC" w:sz="4"/>
              <w:bottom w:val="single" w:color="BFC5CC" w:sz="4"/>
              <w:right w:val="single" w:color="BFC5CC" w:sz="4"/>
            </w:tcBorders>
            <w:shd w:fill="EAF0F6" w:color="auto" w:val="clear"/>
            <w:tcMar>
              <w:top w:type="dxa" w:w="80"/>
              <w:left w:type="dxa" w:w="110"/>
              <w:bottom w:type="dxa" w:w="80"/>
              <w:right w:type="dxa" w:w="110"/>
            </w:tcMar>
          </w:tcPr>
          <w:p>
            <w:pPr>
              <w:spacing w:after="20"/>
            </w:pPr>
            <w:r>
              <w:rPr>
                <w:rFonts w:ascii="Arial" w:cs="Arial" w:eastAsia="Arial" w:hAnsi="Arial"/>
                <w:b/>
                <w:bCs/>
                <w:color w:val="1F3A5F"/>
                <w:sz w:val="19"/>
                <w:szCs w:val="19"/>
              </w:rPr>
              <w:t xml:space="preserve">Norms</w:t>
            </w:r>
          </w:p>
          <w:p>
            <w:pPr>
              <w:spacing w:after="0" w:line="220"/>
            </w:pPr>
            <w:r>
              <w:rPr>
                <w:rFonts w:ascii="Arial" w:cs="Arial" w:eastAsia="Arial" w:hAnsi="Arial"/>
                <w:i/>
                <w:iCs/>
                <w:color w:val="5F5E5A"/>
                <w:sz w:val="15"/>
                <w:szCs w:val="15"/>
              </w:rPr>
              <w:t xml:space="preserve">Which rules or agreements apply?</w:t>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880" w:hRule="atLeast"/>
        </w:trPr>
        <w:tc>
          <w:tcPr>
            <w:tcW w:type="dxa" w:w="1706"/>
            <w:tcBorders>
              <w:top w:val="single" w:color="BFC5CC" w:sz="4"/>
              <w:left w:val="single" w:color="BFC5CC" w:sz="4"/>
              <w:bottom w:val="single" w:color="BFC5CC" w:sz="4"/>
              <w:right w:val="single" w:color="BFC5CC" w:sz="4"/>
            </w:tcBorders>
            <w:shd w:fill="EAF0F6" w:color="auto" w:val="clear"/>
            <w:tcMar>
              <w:top w:type="dxa" w:w="80"/>
              <w:left w:type="dxa" w:w="110"/>
              <w:bottom w:type="dxa" w:w="80"/>
              <w:right w:type="dxa" w:w="110"/>
            </w:tcMar>
          </w:tcPr>
          <w:p>
            <w:pPr>
              <w:spacing w:after="20"/>
            </w:pPr>
            <w:r>
              <w:rPr>
                <w:rFonts w:ascii="Arial" w:cs="Arial" w:eastAsia="Arial" w:hAnsi="Arial"/>
                <w:b/>
                <w:bCs/>
                <w:color w:val="1F3A5F"/>
                <w:sz w:val="19"/>
                <w:szCs w:val="19"/>
              </w:rPr>
              <w:t xml:space="preserve">Consequences</w:t>
            </w:r>
          </w:p>
          <w:p>
            <w:pPr>
              <w:spacing w:after="0" w:line="220"/>
            </w:pPr>
            <w:r>
              <w:rPr>
                <w:rFonts w:ascii="Arial" w:cs="Arial" w:eastAsia="Arial" w:hAnsi="Arial"/>
                <w:i/>
                <w:iCs/>
                <w:color w:val="5F5E5A"/>
                <w:sz w:val="15"/>
                <w:szCs w:val="15"/>
              </w:rPr>
              <w:t xml:space="preserve">Who faces which consequence or harm?</w:t>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STEP 4 — MY CHOICE (BEFORE THE DISCUSSION)</w:t>
      </w:r>
    </w:p>
    <w:p>
      <w:pPr>
        <w:spacing w:after="60"/>
      </w:pPr>
      <w:r>
        <w:rPr>
          <w:rFonts w:ascii="Arial" w:cs="Arial" w:eastAsia="Arial" w:hAnsi="Arial"/>
          <w:sz w:val="20"/>
          <w:szCs w:val="20"/>
        </w:rPr>
        <w:t xml:space="preserve">I choose:  ☐ Option A     ☐ Option B     because</w:t>
      </w:r>
    </w:p>
    <w:p>
      <w:pPr>
        <w:pBdr>
          <w:bottom w:val="single" w:color="C9CED4" w:sz="4" w:space="1"/>
        </w:pBdr>
        <w:spacing w:after="0" w:before="0" w:line="360" w:lineRule="exact"/>
        <w:ind w:right="0"/>
      </w:pPr>
      <w:r>
        <w:rPr>
          <w:rFonts w:ascii="Arial" w:cs="Arial" w:eastAsia="Arial" w:hAnsi="Arial"/>
          <w:sz w:val="21"/>
          <w:szCs w:val="21"/>
        </w:rPr>
        <w:t xml:space="preserve"/>
      </w:r>
    </w:p>
    <w:p>
      <w:pPr>
        <w:pBdr>
          <w:bottom w:val="single" w:color="C9CED4" w:sz="4" w:space="1"/>
        </w:pBdr>
        <w:spacing w:after="0" w:before="0" w:line="36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Which value weighed most heavily for you? Support your answer with at least two ethical perspectives, for example duty, consequences or care.</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1D9E75" w:color="auto" w:val="clear"/>
        </w:rPr>
        <w:t xml:space="preserve"> ACTING </w:t>
      </w:r>
      <w:r>
        <w:rPr>
          <w:rFonts w:ascii="Arial" w:cs="Arial" w:eastAsia="Arial" w:hAnsi="Arial"/>
          <w:sz w:val="20"/>
          <w:szCs w:val="20"/>
        </w:rPr>
        <w:t xml:space="preserve">  What exactly will Noor say tomorrow, to whom, and how will she take into account the people affected by the choice?</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the dilemma method of moral case deliberation (Stolper, Molewijk &amp; Widdershoven, 2016; BMC Medical Ethics, CC BY 4.0).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889f7f2eb4c5107a30c2106ea29b9f68ce7e03.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MW02 Dilemma deliberation: the reorganisation (Higher education HRM, EN, student version)</dc:title>
  <dc:creator>Moreel Vakmanschap</dc:creator>
  <cp:lastModifiedBy>Moral Craftsmanship</cp:lastModifiedBy>
  <cp:revision>1</cp:revision>
  <dcterms:created xsi:type="dcterms:W3CDTF">2026-09-29T09:52:03.964Z</dcterms:created>
  <dcterms:modified xsi:type="dcterms:W3CDTF">2026-09-29T09:52:03.974Z</dcterms:modified>
  <dc:language>en-GB</dc:language>
</cp:coreProperties>
</file>

<file path=docProps/custom.xml><?xml version="1.0" encoding="utf-8"?>
<Properties xmlns="http://schemas.openxmlformats.org/officeDocument/2006/custom-properties" xmlns:vt="http://schemas.openxmlformats.org/officeDocument/2006/docPropsVTypes"/>
</file>