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E08A1E" w:sz="24"/>
              <w:right w:val="none" w:color="FFFFFF" w:sz="0"/>
            </w:tcBorders>
            <w:shd w:fill="1F3A5F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MW02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Dilemma-overleg: de reorganisatie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E08A1E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moreel dilemma in een organisatiecontext formuleren als keuze tussen twee opties.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per optie waarden, normen en gevolgen benoemen vanuit minstens twee ethische perspectieven.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onderbouwde handelingskeuze formuleren en concreet verwoorden. (Handelen)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de HR-adviseur weegt haar eigen oordeel over eerlijkheid af tegen de regels van de reorganisatie, de druk van het managementteam en de verwachtingen van collega’s.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de regels en cultuur van de organisatie. Dat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Micro: </w:t>
      </w:r>
      <w:r>
        <w:rPr>
          <w:rFonts w:ascii="Arial" w:cs="Arial" w:eastAsia="Arial" w:hAnsi="Arial"/>
          <w:sz w:val="19"/>
          <w:szCs w:val="19"/>
        </w:rPr>
        <w:t xml:space="preserve">er spelen meerdere stakeholders mee (MT, ondernemingsraad, collega’s) en Noor zit vast in haar rol (beslisregel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Macro: </w:t>
      </w:r>
      <w:r>
        <w:rPr>
          <w:rFonts w:ascii="Arial" w:cs="Arial" w:eastAsia="Arial" w:hAnsi="Arial"/>
          <w:sz w:val="19"/>
          <w:szCs w:val="19"/>
        </w:rPr>
        <w:t xml:space="preserve">wet en beleid zijn achtergrond, niet de kern van het dilemma (beslisregel 3). Twijfel je? Kies het laagste niveau dat de kernspanning dekt.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timer. Groepjes van 4–5. Neem 60 minuten; met een plenaire nabespreking 75–90.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bewaak tijd en veiligheid, stel verdiepende vragen (“Welke waarde zit hier onder?”) en geef geen oplossing. Laat studenten eerst kiezen en pas daarna praten.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Afspraken vooraf: </w:t>
      </w:r>
      <w:r>
        <w:rPr>
          <w:rFonts w:ascii="Arial" w:cs="Arial" w:eastAsia="Arial" w:hAnsi="Arial"/>
          <w:sz w:val="19"/>
          <w:szCs w:val="19"/>
        </w:rPr>
        <w:t xml:space="preserve">wat in de groep wordt gezegd, blijft in de groep. Spreek over personen in de casus, niet over elkaar.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springen direct naar een “derde weg”. Laat het dilemma eerst als A of B formuleren; bespreek pas bij stap 6 alternatieven, zoals een officiële afwijking via de ondernemingsraad of kennisoverdracht.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Sem of Rob wordt als persoon beoordeeld. Richt het gesprek op waarden en gevolgen.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Bij een eigen casus van een student (zoals in de oorspronkelijke methode): kies een casus zonder herkenbare personen en zonder lopende conflicten.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SUGGESTIES VOOR DE NABESPREKING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3"/>
        <w:gridCol w:w="4203"/>
      </w:tblGrid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Optie A: houd je aan het sociaal plan (Sem vertrekt)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Optie B: maak een uitzondering (Sem blijft, Rob vertrekt)</w:t>
            </w:r>
          </w:p>
        </w:tc>
      </w:tr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F3A5F"/>
                <w:sz w:val="17"/>
                <w:szCs w:val="17"/>
              </w:rPr>
              <w:t xml:space="preserve">Waarden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Rechtvaardigheid, gelijke behandeling, betrouwbaarheid van de procedure.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Continuïteit, verantwoordelijkheid voor het bedrijfsresultaat, behoud van kennis.</w:t>
            </w:r>
          </w:p>
        </w:tc>
      </w:tr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F3A5F"/>
                <w:sz w:val="17"/>
                <w:szCs w:val="17"/>
              </w:rPr>
              <w:t xml:space="preserve">Normen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Sociaal plan, controle door de ondernemingsraad, professionele integriteit van HR.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Bedrijfsbelang tegenover gelijke behandeling; een “reden” bedenken past niet bij transparante besluitvorming.</w:t>
            </w:r>
          </w:p>
        </w:tc>
      </w:tr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F3A5F"/>
                <w:sz w:val="17"/>
                <w:szCs w:val="17"/>
              </w:rPr>
              <w:t xml:space="preserve">Gevolgen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Planning onder druk in het hoogseizoen; Sem verliest zijn baan.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Rob (59) verliest zijn baan; precedent; vertrouwen van OR en collega’s neemt af; risico op bezwaar.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(45 min): </w:t>
      </w:r>
      <w:r>
        <w:rPr>
          <w:rFonts w:ascii="Arial" w:cs="Arial" w:eastAsia="Arial" w:hAnsi="Arial"/>
          <w:sz w:val="19"/>
          <w:szCs w:val="19"/>
        </w:rPr>
        <w:t xml:space="preserve">voeg stap 5 en 6 samen.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breakout rooms en een gedeeld document met de tabel.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werk met een fishbowl; twee groepjes spreken, de rest observeert.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/>
      <w:r/>
      <w:r>
        <w:rPr>
          <w:i/>
        </w:rPr>
        <w:t>Meijer, K. M. T. (2023). Impossible and inevitable: Reconstructing the critique of business ethics [Proefschrift, Tilburg University]. Ridderprint. https://research.tilburguniversity.edu/en/publications/impossible-and-inevitable-reconstructing-the-critique-of-business/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Stolper, M., Molewijk, B., &amp; Widdershoven, G. (2016). Bioethics education in clinical settings: Theory and practice of the dilemma method of moral case deliberation. BMC Medical Ethics, 17, Article 45. https://doi.org/10.1186/s12910-016-0125-1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 gebaseerd op: dilemmamethode van moreel beraad (Stolper, Molewijk &amp; Widdershoven, 2016; BMC Medical Ethics, CC BY 4.0).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MW02 Docentenversie – Dilemma-overleg: de reorganisatie</dc:title>
  <dc:creator>Moreel Vakmanschap</dc:creator>
  <cp:lastModifiedBy>Un-named</cp:lastModifiedBy>
  <cp:revision>1</cp:revision>
  <dcterms:created xsi:type="dcterms:W3CDTF">2026-09-29T09:46:30.761Z</dcterms:created>
  <dcterms:modified xsi:type="dcterms:W3CDTF">2026-09-29T09:46:30.761Z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