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FCB77" w:sz="24"/>
              <w:right w:val="none" w:color="FFFFFF" w:sz="0"/>
            </w:tcBorders>
            <w:shd w:fill="227C9D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MW03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confidential report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FCB77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clearly formulate a moral problem in HR practice.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separate facts from assumptions.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the values of those involved and substantiate a decision.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the reporter’s wish against the reporting procedure and the company culture, with several people involved.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reporting procedure and the culture in the company.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manager, team, HR and organisational rules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legislation on inappropriate behaviour is in the background, but the core is how people treat each other within the organisation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4–10. Allow 60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watch the separation between facts and assumptions in block B. The method comes from healthcare; help students translate it to HRM.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four blocks have been adapted to HRM in our own words (Steinkamp &amp; Gordijn, 2003). The original questionnaire has not been copied literally.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skip block B and go straight to values.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Values remain general (“respect”). Ask what that means concretely here.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decision is only about the manager. Also ask what the reporter needs.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GUIDANCE PER BLOCK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27C9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27C9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27C9D"/>
                <w:sz w:val="17"/>
                <w:szCs w:val="17"/>
              </w:rPr>
              <w:t xml:space="preserve">A. Problem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is the dilemma and who has to decide on it?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27C9D"/>
                <w:sz w:val="17"/>
                <w:szCs w:val="17"/>
              </w:rPr>
              <w:t xml:space="preserve">B. Facts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has been reported? What do we know about the rules? What are we missing?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27C9D"/>
                <w:sz w:val="17"/>
                <w:szCs w:val="17"/>
              </w:rPr>
              <w:t xml:space="preserve">C. Values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Which values are in opposition? Who bears the consequences?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27C9D"/>
                <w:sz w:val="17"/>
                <w:szCs w:val="17"/>
              </w:rPr>
              <w:t xml:space="preserve">D. Decision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Which option is defensible? What do we arrange for the reporter?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(40 min): </w:t>
      </w:r>
      <w:r>
        <w:rPr>
          <w:rFonts w:ascii="Arial" w:cs="Arial" w:eastAsia="Arial" w:hAnsi="Arial"/>
          <w:sz w:val="19"/>
          <w:szCs w:val="19"/>
        </w:rPr>
        <w:t xml:space="preserve">skip block B or work with two people involved.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document with the four blocks.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groups each work out one block and present together.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Steinkamp, N., &amp; Gordijn, B. (2003). Ethical case deliberation on the ward: A comparison of four methods. Medicine, Health Care and Philosophy, 6(3), 235–246. https://doi.org/10.1023/A:1025928617468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moral deliberation in four blocks (Steinkamp &amp; Gordijn, 2003; adapted to HRM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MW03 The confidential report (Higher education HRM, EN, teacher version)</dc:title>
  <dc:creator>Moreel Vakmanschap</dc:creator>
  <cp:lastModifiedBy>Moral Craftsmanship</cp:lastModifiedBy>
  <cp:revision>1</cp:revision>
  <dcterms:created xsi:type="dcterms:W3CDTF">2026-09-30T10:35:03.788Z</dcterms:created>
  <dcterms:modified xsi:type="dcterms:W3CDTF">2026-09-30T10:35:03.788Z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