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8B4A0" w:sz="24"/>
              <w:right w:val="none" w:color="FFFFFF" w:sz="0"/>
            </w:tcBorders>
            <w:shd w:fill="5E3B52"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TEACHER VERSION · MW06</w:t>
            </w:r>
          </w:p>
          <w:p>
            <w:pPr>
              <w:spacing w:after="40" w:line="250"/>
            </w:pPr>
            <w:r>
              <w:rPr>
                <w:rFonts w:ascii="Arial" w:cs="Arial" w:eastAsia="Arial" w:hAnsi="Arial"/>
                <w:b/>
                <w:bCs/>
                <w:color w:val="FFFFFF"/>
                <w:sz w:val="34"/>
                <w:szCs w:val="34"/>
              </w:rPr>
              <w:t xml:space="preserve">The silent lunch</w:t>
            </w:r>
          </w:p>
          <w:p>
            <w:pPr>
              <w:spacing w:after="0"/>
            </w:pPr>
            <w:r>
              <w:rPr>
                <w:rFonts w:ascii="Arial" w:cs="Arial" w:eastAsia="Arial" w:hAnsi="Arial"/>
                <w:color w:val="DDE6F0"/>
                <w:sz w:val="19"/>
                <w:szCs w:val="19"/>
              </w:rPr>
              <w:t xml:space="preserve">Higher education (UAS) · HRM · English · accompanies the 2-page student version</w:t>
            </w:r>
          </w:p>
        </w:tc>
        <w:tc>
          <w:tcPr>
            <w:tcW w:type="dxa" w:w="2606"/>
            <w:tcBorders>
              <w:top w:val="none" w:color="FFFFFF" w:sz="0"/>
              <w:left w:val="none" w:color="FFFFFF" w:sz="0"/>
              <w:bottom w:val="single" w:color="E8B4A0"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LEARNING OUTCOMES</w:t>
      </w:r>
    </w:p>
    <w:p>
      <w:pPr>
        <w:pStyle w:val="ListParagraph"/>
        <w:numPr>
          <w:ilvl w:val="0"/>
          <w:numId w:val="2"/>
        </w:numPr>
        <w:spacing w:after="40" w:line="260"/>
      </w:pPr>
      <w:r>
        <w:rPr>
          <w:rFonts w:ascii="Arial" w:cs="Arial" w:eastAsia="Arial" w:hAnsi="Arial"/>
          <w:sz w:val="19"/>
          <w:szCs w:val="19"/>
        </w:rPr>
        <w:t xml:space="preserve">The student can name their own feelings about a difficult team issue in a structured circle. (Feeling)</w:t>
      </w:r>
    </w:p>
    <w:p>
      <w:pPr>
        <w:pStyle w:val="ListParagraph"/>
        <w:numPr>
          <w:ilvl w:val="0"/>
          <w:numId w:val="2"/>
        </w:numPr>
        <w:spacing w:after="40" w:line="260"/>
      </w:pPr>
      <w:r>
        <w:rPr>
          <w:rFonts w:ascii="Arial" w:cs="Arial" w:eastAsia="Arial" w:hAnsi="Arial"/>
          <w:sz w:val="19"/>
          <w:szCs w:val="19"/>
        </w:rPr>
        <w:t xml:space="preserve">The student can listen without giving advice or judgement. (Feeling)</w:t>
      </w:r>
    </w:p>
    <w:p>
      <w:pPr>
        <w:pStyle w:val="ListParagraph"/>
        <w:numPr>
          <w:ilvl w:val="0"/>
          <w:numId w:val="2"/>
        </w:numPr>
        <w:spacing w:after="40" w:line="260"/>
      </w:pPr>
      <w:r>
        <w:rPr>
          <w:rFonts w:ascii="Arial" w:cs="Arial" w:eastAsia="Arial" w:hAnsi="Arial"/>
          <w:sz w:val="19"/>
          <w:szCs w:val="19"/>
        </w:rPr>
        <w:t xml:space="preserve">The student can name what is needed to sustain a difficult conversation in a team. (Persisting)</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COMPLEXITY: WHY MESO?</w:t>
      </w:r>
    </w:p>
    <w:p>
      <w:pPr>
        <w:spacing w:after="50" w:line="264"/>
      </w:pPr>
      <w:r>
        <w:rPr>
          <w:rFonts w:ascii="Arial" w:cs="Arial" w:eastAsia="Arial" w:hAnsi="Arial"/>
          <w:i/>
          <w:iCs/>
          <w:sz w:val="19"/>
          <w:szCs w:val="19"/>
        </w:rPr>
        <w:t xml:space="preserve">Meso: the team leader weighs her own judgement against the culture of the team (“we don’t talk about feelings here”) and the expectations of colleagues.</w:t>
      </w:r>
    </w:p>
    <w:p>
      <w:pPr>
        <w:pStyle w:val="ListParagraph"/>
        <w:numPr>
          <w:ilvl w:val="0"/>
          <w:numId w:val="2"/>
        </w:numPr>
        <w:spacing w:after="40" w:line="260"/>
      </w:pPr>
      <w:r>
        <w:rPr>
          <w:rFonts w:ascii="Arial" w:cs="Arial" w:eastAsia="Arial" w:hAnsi="Arial"/>
          <w:b/>
          <w:bCs/>
          <w:sz w:val="19"/>
          <w:szCs w:val="19"/>
        </w:rPr>
        <w:t xml:space="preserve">Test: </w:t>
      </w:r>
      <w:r>
        <w:rPr>
          <w:rFonts w:ascii="Arial" w:cs="Arial" w:eastAsia="Arial" w:hAnsi="Arial"/>
          <w:sz w:val="19"/>
          <w:szCs w:val="19"/>
        </w:rPr>
        <w:t xml:space="preserve">“Who or what would have to change for this dilemma to disappear?” Answer: the culture of the team. That is Meso.</w:t>
      </w:r>
    </w:p>
    <w:p>
      <w:pPr>
        <w:pStyle w:val="ListParagraph"/>
        <w:numPr>
          <w:ilvl w:val="0"/>
          <w:numId w:val="2"/>
        </w:numPr>
        <w:spacing w:after="40" w:line="260"/>
      </w:pPr>
      <w:r>
        <w:rPr>
          <w:rFonts w:ascii="Arial" w:cs="Arial" w:eastAsia="Arial" w:hAnsi="Arial"/>
          <w:b/>
          <w:bCs/>
          <w:sz w:val="19"/>
          <w:szCs w:val="19"/>
        </w:rPr>
        <w:t xml:space="preserve">Not Micro: </w:t>
      </w:r>
      <w:r>
        <w:rPr>
          <w:rFonts w:ascii="Arial" w:cs="Arial" w:eastAsia="Arial" w:hAnsi="Arial"/>
          <w:sz w:val="19"/>
          <w:szCs w:val="19"/>
        </w:rPr>
        <w:t xml:space="preserve">several colleagues and a team culture play a significant role (decision rule 2).</w:t>
      </w:r>
    </w:p>
    <w:p>
      <w:pPr>
        <w:pStyle w:val="ListParagraph"/>
        <w:numPr>
          <w:ilvl w:val="0"/>
          <w:numId w:val="2"/>
        </w:numPr>
        <w:spacing w:after="40" w:line="260"/>
      </w:pPr>
      <w:r>
        <w:rPr>
          <w:rFonts w:ascii="Arial" w:cs="Arial" w:eastAsia="Arial" w:hAnsi="Arial"/>
          <w:b/>
          <w:bCs/>
          <w:sz w:val="19"/>
          <w:szCs w:val="19"/>
        </w:rPr>
        <w:t xml:space="preserve">Not Macro: </w:t>
      </w:r>
      <w:r>
        <w:rPr>
          <w:rFonts w:ascii="Arial" w:cs="Arial" w:eastAsia="Arial" w:hAnsi="Arial"/>
          <w:sz w:val="19"/>
          <w:szCs w:val="19"/>
        </w:rPr>
        <w:t xml:space="preserve">law or policy is not the core here (decision rule 3).</w:t>
      </w:r>
    </w:p>
    <w:p>
      <w:pPr>
        <w:keepNext/>
        <w:pBdr>
          <w:bottom w:val="single" w:color="5B2D8E" w:sz="8" w:space="2"/>
        </w:pBdr>
        <w:spacing w:after="90" w:before="200"/>
      </w:pPr>
      <w:r>
        <w:rPr>
          <w:rFonts w:ascii="Arial" w:cs="Arial" w:eastAsia="Arial" w:hAnsi="Arial"/>
          <w:b/>
          <w:bCs/>
          <w:color w:val="5B2D8E"/>
          <w:spacing w:val="30"/>
          <w:sz w:val="20"/>
          <w:szCs w:val="20"/>
        </w:rPr>
        <w:t xml:space="preserve">PREPARATION AND PROCEDURE</w:t>
      </w:r>
    </w:p>
    <w:p>
      <w:pPr>
        <w:pStyle w:val="ListParagraph"/>
        <w:numPr>
          <w:ilvl w:val="0"/>
          <w:numId w:val="2"/>
        </w:numPr>
        <w:spacing w:after="40" w:line="260"/>
      </w:pPr>
      <w:r>
        <w:rPr>
          <w:rFonts w:ascii="Arial" w:cs="Arial" w:eastAsia="Arial" w:hAnsi="Arial"/>
          <w:b/>
          <w:bCs/>
          <w:sz w:val="19"/>
          <w:szCs w:val="19"/>
        </w:rPr>
        <w:t xml:space="preserve">Materials: </w:t>
      </w:r>
      <w:r>
        <w:rPr>
          <w:rFonts w:ascii="Arial" w:cs="Arial" w:eastAsia="Arial" w:hAnsi="Arial"/>
          <w:sz w:val="19"/>
          <w:szCs w:val="19"/>
        </w:rPr>
        <w:t xml:space="preserve">chairs in a circle without tables, a neutral talking piece (for example a stone or pen), timer. Allow 60 minutes; with more than 12 students, use two circles.</w:t>
      </w:r>
    </w:p>
    <w:p>
      <w:pPr>
        <w:pStyle w:val="ListParagraph"/>
        <w:numPr>
          <w:ilvl w:val="0"/>
          <w:numId w:val="2"/>
        </w:numPr>
        <w:spacing w:after="40" w:line="260"/>
      </w:pPr>
      <w:r>
        <w:rPr>
          <w:rFonts w:ascii="Arial" w:cs="Arial" w:eastAsia="Arial" w:hAnsi="Arial"/>
          <w:b/>
          <w:bCs/>
          <w:sz w:val="19"/>
          <w:szCs w:val="19"/>
        </w:rPr>
        <w:t xml:space="preserve">Role of the facilitator: </w:t>
      </w:r>
      <w:r>
        <w:rPr>
          <w:rFonts w:ascii="Arial" w:cs="Arial" w:eastAsia="Arial" w:hAnsi="Arial"/>
          <w:sz w:val="19"/>
          <w:szCs w:val="19"/>
        </w:rPr>
        <w:t xml:space="preserve">keep the circle, take part yourself and be the first to pass the object on. Guard time and agreements; do not impose content on the conversation.</w:t>
      </w:r>
    </w:p>
    <w:p>
      <w:pPr>
        <w:pStyle w:val="ListParagraph"/>
        <w:numPr>
          <w:ilvl w:val="0"/>
          <w:numId w:val="2"/>
        </w:numPr>
        <w:spacing w:after="40" w:line="260"/>
      </w:pPr>
      <w:r>
        <w:rPr>
          <w:rFonts w:ascii="Arial" w:cs="Arial" w:eastAsia="Arial" w:hAnsi="Arial"/>
          <w:b/>
          <w:bCs/>
          <w:sz w:val="19"/>
          <w:szCs w:val="19"/>
        </w:rPr>
        <w:t xml:space="preserve">Origins and respect: </w:t>
      </w:r>
      <w:r>
        <w:rPr>
          <w:rFonts w:ascii="Arial" w:cs="Arial" w:eastAsia="Arial" w:hAnsi="Arial"/>
          <w:sz w:val="19"/>
          <w:szCs w:val="19"/>
        </w:rPr>
        <w:t xml:space="preserve">briefly mention beforehand that the circle format comes from Indigenous traditions (Pranis, 2005). Do not use ritual elements such as sage or feathers and do not present the format as your own invention.</w:t>
      </w:r>
    </w:p>
    <w:p>
      <w:pPr>
        <w:keepNext/>
        <w:pBdr>
          <w:bottom w:val="single" w:color="5B2D8E" w:sz="8" w:space="2"/>
        </w:pBdr>
        <w:spacing w:after="90" w:before="200"/>
      </w:pPr>
      <w:r>
        <w:rPr>
          <w:rFonts w:ascii="Arial" w:cs="Arial" w:eastAsia="Arial" w:hAnsi="Arial"/>
          <w:b/>
          <w:bCs/>
          <w:color w:val="5B2D8E"/>
          <w:spacing w:val="30"/>
          <w:sz w:val="20"/>
          <w:szCs w:val="20"/>
        </w:rPr>
        <w:t xml:space="preserve">PITFALLS</w:t>
      </w:r>
    </w:p>
    <w:p>
      <w:pPr>
        <w:pStyle w:val="ListParagraph"/>
        <w:numPr>
          <w:ilvl w:val="0"/>
          <w:numId w:val="2"/>
        </w:numPr>
        <w:spacing w:after="40" w:line="260"/>
      </w:pPr>
      <w:r>
        <w:rPr>
          <w:rFonts w:ascii="Arial" w:cs="Arial" w:eastAsia="Arial" w:hAnsi="Arial"/>
          <w:sz w:val="19"/>
          <w:szCs w:val="19"/>
        </w:rPr>
        <w:t xml:space="preserve">Students feel forced to share. Repeat that passing without speaking is allowed.</w:t>
      </w:r>
    </w:p>
    <w:p>
      <w:pPr>
        <w:pStyle w:val="ListParagraph"/>
        <w:numPr>
          <w:ilvl w:val="0"/>
          <w:numId w:val="2"/>
        </w:numPr>
        <w:spacing w:after="40" w:line="260"/>
      </w:pPr>
      <w:r>
        <w:rPr>
          <w:rFonts w:ascii="Arial" w:cs="Arial" w:eastAsia="Arial" w:hAnsi="Arial"/>
          <w:sz w:val="19"/>
          <w:szCs w:val="19"/>
        </w:rPr>
        <w:t xml:space="preserve">Students give advice or respond to each other. Remind them of the circle agreements.</w:t>
      </w:r>
    </w:p>
    <w:p>
      <w:pPr>
        <w:pStyle w:val="ListParagraph"/>
        <w:numPr>
          <w:ilvl w:val="0"/>
          <w:numId w:val="2"/>
        </w:numPr>
        <w:spacing w:after="40" w:line="260"/>
      </w:pPr>
      <w:r>
        <w:rPr>
          <w:rFonts w:ascii="Arial" w:cs="Arial" w:eastAsia="Arial" w:hAnsi="Arial"/>
          <w:sz w:val="19"/>
          <w:szCs w:val="19"/>
        </w:rPr>
        <w:t xml:space="preserve">Students share something heavy from their private lives. Keep it to internships, work or study and refer them on if necessary.</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ALTERNATIVE ROUND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C5CC" w:sz="4"/>
              <w:left w:val="single" w:color="BFC5CC" w:sz="4"/>
              <w:bottom w:val="single" w:color="BFC5CC" w:sz="4"/>
              <w:right w:val="single" w:color="BFC5CC" w:sz="4"/>
            </w:tcBorders>
            <w:shd w:fill="5E3B52"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Round</w:t>
            </w:r>
          </w:p>
        </w:tc>
        <w:tc>
          <w:tcPr>
            <w:tcW w:type="dxa" w:w="7706"/>
            <w:tcBorders>
              <w:top w:val="single" w:color="BFC5CC" w:sz="4"/>
              <w:left w:val="single" w:color="BFC5CC" w:sz="4"/>
              <w:bottom w:val="single" w:color="BFC5CC" w:sz="4"/>
              <w:right w:val="single" w:color="BFC5CC" w:sz="4"/>
            </w:tcBorders>
            <w:shd w:fill="5E3B52"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Example questions</w:t>
            </w:r>
          </w:p>
        </w:tc>
      </w:tr>
      <w:tr>
        <w:tc>
          <w:tcPr>
            <w:tcW w:type="dxa" w:w="2200"/>
            <w:tcBorders>
              <w:top w:val="single" w:color="BFC5CC" w:sz="4"/>
              <w:left w:val="single" w:color="BFC5CC" w:sz="4"/>
              <w:bottom w:val="single" w:color="BFC5CC" w:sz="4"/>
              <w:right w:val="single" w:color="BFC5CC" w:sz="4"/>
            </w:tcBorders>
            <w:shd w:fill="F1E9EE" w:color="auto" w:val="clear"/>
            <w:tcMar>
              <w:top w:type="dxa" w:w="60"/>
              <w:left w:type="dxa" w:w="100"/>
              <w:bottom w:type="dxa" w:w="60"/>
              <w:right w:type="dxa" w:w="100"/>
            </w:tcMar>
          </w:tcPr>
          <w:p>
            <w:pPr>
              <w:spacing w:after="20" w:line="232"/>
            </w:pPr>
            <w:r>
              <w:rPr>
                <w:rFonts w:ascii="Arial" w:cs="Arial" w:eastAsia="Arial" w:hAnsi="Arial"/>
                <w:b/>
                <w:bCs/>
                <w:color w:val="5E3B52"/>
                <w:sz w:val="17"/>
                <w:szCs w:val="17"/>
              </w:rPr>
              <w:t xml:space="preserve">Opening</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What have you brought with you to this circle? How are you sitting here now?</w:t>
            </w:r>
          </w:p>
        </w:tc>
      </w:tr>
      <w:tr>
        <w:tc>
          <w:tcPr>
            <w:tcW w:type="dxa" w:w="2200"/>
            <w:tcBorders>
              <w:top w:val="single" w:color="BFC5CC" w:sz="4"/>
              <w:left w:val="single" w:color="BFC5CC" w:sz="4"/>
              <w:bottom w:val="single" w:color="BFC5CC" w:sz="4"/>
              <w:right w:val="single" w:color="BFC5CC" w:sz="4"/>
            </w:tcBorders>
            <w:shd w:fill="F1E9EE" w:color="auto" w:val="clear"/>
            <w:tcMar>
              <w:top w:type="dxa" w:w="60"/>
              <w:left w:type="dxa" w:w="100"/>
              <w:bottom w:type="dxa" w:w="60"/>
              <w:right w:type="dxa" w:w="100"/>
            </w:tcMar>
          </w:tcPr>
          <w:p>
            <w:pPr>
              <w:spacing w:after="20" w:line="232"/>
            </w:pPr>
            <w:r>
              <w:rPr>
                <w:rFonts w:ascii="Arial" w:cs="Arial" w:eastAsia="Arial" w:hAnsi="Arial"/>
                <w:b/>
                <w:bCs/>
                <w:color w:val="5E3B52"/>
                <w:sz w:val="17"/>
                <w:szCs w:val="17"/>
              </w:rPr>
              <w:t xml:space="preserve">Deepening</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When did you feel heard in a team? What made that possible?</w:t>
            </w:r>
          </w:p>
        </w:tc>
      </w:tr>
      <w:tr>
        <w:tc>
          <w:tcPr>
            <w:tcW w:type="dxa" w:w="2200"/>
            <w:tcBorders>
              <w:top w:val="single" w:color="BFC5CC" w:sz="4"/>
              <w:left w:val="single" w:color="BFC5CC" w:sz="4"/>
              <w:bottom w:val="single" w:color="BFC5CC" w:sz="4"/>
              <w:right w:val="single" w:color="BFC5CC" w:sz="4"/>
            </w:tcBorders>
            <w:shd w:fill="F1E9EE" w:color="auto" w:val="clear"/>
            <w:tcMar>
              <w:top w:type="dxa" w:w="60"/>
              <w:left w:type="dxa" w:w="100"/>
              <w:bottom w:type="dxa" w:w="60"/>
              <w:right w:type="dxa" w:w="100"/>
            </w:tcMar>
          </w:tcPr>
          <w:p>
            <w:pPr>
              <w:spacing w:after="20" w:line="232"/>
            </w:pPr>
            <w:r>
              <w:rPr>
                <w:rFonts w:ascii="Arial" w:cs="Arial" w:eastAsia="Arial" w:hAnsi="Arial"/>
                <w:b/>
                <w:bCs/>
                <w:color w:val="5E3B52"/>
                <w:sz w:val="17"/>
                <w:szCs w:val="17"/>
              </w:rPr>
              <w:t xml:space="preserve">Deepening</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Which value is under pressure for you in your work?</w:t>
            </w:r>
          </w:p>
        </w:tc>
      </w:tr>
      <w:tr>
        <w:tc>
          <w:tcPr>
            <w:tcW w:type="dxa" w:w="2200"/>
            <w:tcBorders>
              <w:top w:val="single" w:color="BFC5CC" w:sz="4"/>
              <w:left w:val="single" w:color="BFC5CC" w:sz="4"/>
              <w:bottom w:val="single" w:color="BFC5CC" w:sz="4"/>
              <w:right w:val="single" w:color="BFC5CC" w:sz="4"/>
            </w:tcBorders>
            <w:shd w:fill="F1E9EE" w:color="auto" w:val="clear"/>
            <w:tcMar>
              <w:top w:type="dxa" w:w="60"/>
              <w:left w:type="dxa" w:w="100"/>
              <w:bottom w:type="dxa" w:w="60"/>
              <w:right w:type="dxa" w:w="100"/>
            </w:tcMar>
          </w:tcPr>
          <w:p>
            <w:pPr>
              <w:spacing w:after="20" w:line="232"/>
            </w:pPr>
            <w:r>
              <w:rPr>
                <w:rFonts w:ascii="Arial" w:cs="Arial" w:eastAsia="Arial" w:hAnsi="Arial"/>
                <w:b/>
                <w:bCs/>
                <w:color w:val="5E3B52"/>
                <w:sz w:val="17"/>
                <w:szCs w:val="17"/>
              </w:rPr>
              <w:t xml:space="preserve">Closing</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What do you take with you? What do you leave here?</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VARIATIONS AND DIFFERENTIATION</w:t>
      </w:r>
    </w:p>
    <w:p>
      <w:pPr>
        <w:pStyle w:val="ListParagraph"/>
        <w:numPr>
          <w:ilvl w:val="0"/>
          <w:numId w:val="2"/>
        </w:numPr>
        <w:spacing w:after="40" w:line="260"/>
      </w:pPr>
      <w:r>
        <w:rPr>
          <w:rFonts w:ascii="Arial" w:cs="Arial" w:eastAsia="Arial" w:hAnsi="Arial"/>
          <w:b/>
          <w:bCs/>
          <w:sz w:val="19"/>
          <w:szCs w:val="19"/>
        </w:rPr>
        <w:t xml:space="preserve">Shorter (45 min): </w:t>
      </w:r>
      <w:r>
        <w:rPr>
          <w:rFonts w:ascii="Arial" w:cs="Arial" w:eastAsia="Arial" w:hAnsi="Arial"/>
          <w:sz w:val="19"/>
          <w:szCs w:val="19"/>
        </w:rPr>
        <w:t xml:space="preserve">skip the preparation and do two rounds.</w:t>
      </w:r>
    </w:p>
    <w:p>
      <w:pPr>
        <w:pStyle w:val="ListParagraph"/>
        <w:numPr>
          <w:ilvl w:val="0"/>
          <w:numId w:val="2"/>
        </w:numPr>
        <w:spacing w:after="40" w:line="260"/>
      </w:pPr>
      <w:r>
        <w:rPr>
          <w:rFonts w:ascii="Arial" w:cs="Arial" w:eastAsia="Arial" w:hAnsi="Arial"/>
          <w:b/>
          <w:bCs/>
          <w:sz w:val="19"/>
          <w:szCs w:val="19"/>
        </w:rPr>
        <w:t xml:space="preserve">Online: </w:t>
      </w:r>
      <w:r>
        <w:rPr>
          <w:rFonts w:ascii="Arial" w:cs="Arial" w:eastAsia="Arial" w:hAnsi="Arial"/>
          <w:sz w:val="19"/>
          <w:szCs w:val="19"/>
        </w:rPr>
        <w:t xml:space="preserve">use a fixed order of turns with cameras on; the object is passed “on” by naming the next person.</w:t>
      </w:r>
    </w:p>
    <w:p>
      <w:pPr>
        <w:pStyle w:val="ListParagraph"/>
        <w:numPr>
          <w:ilvl w:val="0"/>
          <w:numId w:val="2"/>
        </w:numPr>
        <w:spacing w:after="40" w:line="260"/>
      </w:pPr>
      <w:r>
        <w:rPr>
          <w:rFonts w:ascii="Arial" w:cs="Arial" w:eastAsia="Arial" w:hAnsi="Arial"/>
          <w:b/>
          <w:bCs/>
          <w:sz w:val="19"/>
          <w:szCs w:val="19"/>
        </w:rPr>
        <w:t xml:space="preserve">Large group: </w:t>
      </w:r>
      <w:r>
        <w:rPr>
          <w:rFonts w:ascii="Arial" w:cs="Arial" w:eastAsia="Arial" w:hAnsi="Arial"/>
          <w:sz w:val="19"/>
          <w:szCs w:val="19"/>
        </w:rPr>
        <w:t xml:space="preserve">two circles side by side, each with a circle keeper.</w:t>
      </w:r>
    </w:p>
    <w:p>
      <w:pPr>
        <w:pStyle w:val="ListParagraph"/>
        <w:numPr>
          <w:ilvl w:val="0"/>
          <w:numId w:val="2"/>
        </w:numPr>
        <w:spacing w:after="40" w:line="260"/>
      </w:pPr>
      <w:r>
        <w:rPr>
          <w:rFonts w:ascii="Arial" w:cs="Arial" w:eastAsia="Arial" w:hAnsi="Arial"/>
          <w:b/>
          <w:bCs/>
          <w:sz w:val="19"/>
          <w:szCs w:val="19"/>
        </w:rPr>
        <w:t xml:space="preserve">Higher education (this version): </w:t>
      </w:r>
      <w:r>
        <w:rPr>
          <w:rFonts w:ascii="Arial" w:cs="Arial" w:eastAsia="Arial" w:hAnsi="Arial"/>
          <w:sz w:val="19"/>
          <w:szCs w:val="19"/>
        </w:rPr>
        <w:t xml:space="preserve">at least two ethical perspectives and a well-founded choice. For vocational education: CEFR B1 language and one question per step. For research universities: name and critique theories explicitly.</w:t>
      </w:r>
    </w:p>
    <w:p>
      <w:pPr>
        <w:keepNext/>
        <w:pBdr>
          <w:bottom w:val="single" w:color="5B2D8E" w:sz="8" w:space="2"/>
        </w:pBdr>
        <w:spacing w:after="90" w:before="200"/>
      </w:pPr>
      <w:r>
        <w:rPr>
          <w:rFonts w:ascii="Arial" w:cs="Arial" w:eastAsia="Arial" w:hAnsi="Arial"/>
          <w:b/>
          <w:bCs/>
          <w:color w:val="5B2D8E"/>
          <w:spacing w:val="30"/>
          <w:sz w:val="20"/>
          <w:szCs w:val="20"/>
        </w:rPr>
        <w:t xml:space="preserve">REFERENCES (APA 7)</w:t>
      </w:r>
    </w:p>
    <w:p>
      <w:pPr>
        <w:spacing w:after="40" w:line="240"/>
        <w:ind w:left="360" w:hanging="360"/>
      </w:pPr>
      <w:r>
        <w:rPr>
          <w:rFonts w:ascii="Arial" w:cs="Arial" w:eastAsia="Arial" w:hAnsi="Arial"/>
          <w:color w:val="333333"/>
          <w:sz w:val="16"/>
          <w:szCs w:val="16"/>
        </w:rPr>
        <w:t xml:space="preserve">Creative Commons. (n.d.). About CC licenses. https://creativecommons.org/share-your-work/cclicenses/</w:t>
      </w:r>
    </w:p>
    <w:p>
      <w:pPr/>
      <w:r/>
      <w:r>
        <w:rPr>
          <w:i/>
        </w:rPr>
        <w:t>Meijer, K. M. T. (2023). Impossible and inevitable: Reconstructing the critique of business ethics [Doctoral dissertation, Tilburg University]. Ridderprint. https://research.tilburguniversity.edu/en/publications/impossible-and-inevitable-reconstructing-the-critique-of-business/</w:t>
      </w:r>
    </w:p>
    <w:p>
      <w:pPr>
        <w:spacing w:after="40" w:line="240"/>
        <w:ind w:left="360" w:hanging="360"/>
      </w:pPr>
      <w:r>
        <w:rPr>
          <w:rFonts w:ascii="Arial" w:cs="Arial" w:eastAsia="Arial" w:hAnsi="Arial"/>
          <w:color w:val="333333"/>
          <w:sz w:val="16"/>
          <w:szCs w:val="16"/>
        </w:rPr>
        <w:t xml:space="preserve">Pranis, K. (2005). The little book of circle processes: A new/old approach to peacemaking. Good Books.</w:t>
      </w:r>
    </w:p>
    <w:p>
      <w:pPr>
        <w:spacing w:after="0" w:before="40"/>
      </w:pPr>
      <w:r>
        <w:rPr>
          <w:rFonts w:ascii="Arial" w:cs="Arial" w:eastAsia="Arial" w:hAnsi="Arial"/>
          <w:i/>
          <w:iCs/>
          <w:color w:val="5F5E5A"/>
          <w:sz w:val="15"/>
          <w:szCs w:val="15"/>
        </w:rPr>
        <w:t xml:space="preserve">Complexity determined using the research group’s working definition, classified according to the micro – meso – macro distinction (working definition, Lectoraat Ethisch Werken / Professorship Ethical Work, Fontys; inspired by the work of Meijer, 2023).</w:t>
      </w:r>
    </w:p>
    <w:sectPr>
      <w:headerReference w:type="default" r:id="rId7"/>
      <w:footerReference w:type="default" r:id="rId8"/>
      <w:headerReference w:type="first" r:id="rId10"/>
      <w:footerReference w:type="first" r:id="rId11"/>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talking circle (Pranis, 2005; with respect for the Indigenous origins of the circle format).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TEACHER VERSION</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MW06 The silent lunch (Higher education HRM, EN, teacher version)</dc:title>
  <dc:creator>Moreel Vakmanschap</dc:creator>
  <cp:lastModifiedBy>Moral Craftsmanship</cp:lastModifiedBy>
  <cp:revision>1</cp:revision>
  <dcterms:created xsi:type="dcterms:W3CDTF">2026-09-29T10:22:50.433Z</dcterms:created>
  <dcterms:modified xsi:type="dcterms:W3CDTF">2026-09-29T10:22:50.433Z</dcterms:modified>
  <dc:language>en-GB</dc:language>
</cp:coreProperties>
</file>

<file path=docProps/custom.xml><?xml version="1.0" encoding="utf-8"?>
<Properties xmlns="http://schemas.openxmlformats.org/officeDocument/2006/custom-properties" xmlns:vt="http://schemas.openxmlformats.org/officeDocument/2006/docPropsVTypes"/>
</file>