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6BD60" w:sz="24"/>
              <w:right w:val="none" w:color="FFFFFF" w:sz="0"/>
            </w:tcBorders>
            <w:shd w:fill="354F52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MW10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right to be offline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6BD6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systematically map the people involved in a policy proposal.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consequences for each stakeholder in terms of wellbeing, autonomy and justice. (Seeing, 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a position and substantiate it with the matrix.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the tension lies at the level of legislation and labour market policy, and no single employer or adviser can solve the dilemma alone.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law and the social system. That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Meso: </w:t>
      </w:r>
      <w:r>
        <w:rPr>
          <w:rFonts w:ascii="Arial" w:cs="Arial" w:eastAsia="Arial" w:hAnsi="Arial"/>
          <w:sz w:val="19"/>
          <w:szCs w:val="19"/>
        </w:rPr>
        <w:t xml:space="preserve">the question is not how one organisation deals with availability, but what is fair for an entire market (decision rule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this is a second Macro case in the series. Students may feel small; stress that advisers prepare policy positions.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watch the cells students skip; those are often the most interesting. The three principles may be adapted to the model (see variations).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matrix has been worked out in our own words after Mepham (2000).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fill in effects for employers. Ask about the silent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matrix becomes a sum. It is about weighing, not adding 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a position before the matrix. Have them fill it in first.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ANSWERS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4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4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of what is at stake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Employee with a permanent contract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Wellbeing +: rest. Autonomy −: less flexible. Justice +: equal protection.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Employee in healthcare or shift work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Little change; risk that the law mainly protects office work (justice −).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Small business owner or self-employed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Autonomy −: customer expectations remain. Wellbeing ±: setting your own boundaries becomes harder.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8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54F52"/>
                <w:sz w:val="17"/>
                <w:szCs w:val="17"/>
              </w:rPr>
              <w:t xml:space="preserve">Customer or patient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Availability decreases; emergencies must be clearly defined.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four parties and two principles.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worksheet with the matrix.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Adapting to the model: </w:t>
      </w:r>
      <w:r>
        <w:rPr>
          <w:rFonts w:ascii="Arial" w:cs="Arial" w:eastAsia="Arial" w:hAnsi="Arial"/>
          <w:sz w:val="19"/>
          <w:szCs w:val="19"/>
        </w:rPr>
        <w:t xml:space="preserve">replace the three principles with Seeing, Feeling, Weighing, Acting and Persisting and discuss per party.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Mepham, B. (2000). A framework for the ethical analysis of novel foods: The ethical matrix. Journal of Agricultural and Environmental Ethics, 12(2), 165–176. https://doi.org/10.1023/A:1009542714497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ethical matrix (Mepham, 2000).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MW10 The right to be offline (Higher education HRM, EN, teacher version)</dc:title>
  <dc:creator>Moreel Vakmanschap</dc:creator>
  <cp:lastModifiedBy>Moral Craftsmanship</cp:lastModifiedBy>
  <cp:revision>1</cp:revision>
  <dcterms:created xsi:type="dcterms:W3CDTF">2026-09-29T10:22:51.455Z</dcterms:created>
  <dcterms:modified xsi:type="dcterms:W3CDTF">2026-09-29T10:22:51.455Z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