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354F5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recht om offline te zijn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betrokkenen bij een beleidsvoorstel systematisch in kaart brengen.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belanghebbende gevolgen benoemen vanuit welzijn, autonomie en rechtvaardigheid. (Zien, 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standpunt formuleren en onderbouwen met de matrix.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wetgeving en arbeidsmarktbeleid, en geen enkele werkgever of adviseur kan het dilemma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wet en het maatschappelijke systeem.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vraag is niet hoe één organisatie omgaat met bereikbaarheid, maar wat voor een hele markt eerlijk is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dit is een tweede Macro-casus in de reeks. Studenten kunnen zich klein voelen; benadruk dat adviseurs beleidsstandpunten voorbereiden.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let op de cellen die studenten overslaan; die zijn vaak het interessantst. De drie principes mogen worden aangepast aan het model (zie variaties).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matrix is in eigen woorden uitgewerkt naar Mepham (2000).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alleen effecten voor werkgevers in. Vraag naar de stille partijen.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matrix wordt een rekensom. Het gaat om wegen, niet om optellen.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een standpunt vóór de matrix. Laat eerst invullen.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INVULLING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Partij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 van wat er speelt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Werknemer met vast contract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Welzijn +: rust. Autonomie −: minder flexibel. Rechtvaardigheid +: gelijke bescherming.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Werknemer in zorg of ploegendienst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Weinig verandering; risico dat de wet vooral kantoorwerk beschermt (rechtvaardigheid −).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Kleine ondernemer of zelfstandige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Autonomie −: klantverwachting blijft. Welzijn ±: eigen grenzen stellen wordt lastiger.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Klant of patiënt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Bereikbaarheid daalt; noodgevallen moeten helder gedefinieerd zijn.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vier partijen en twee principes.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werkblad met de matrix.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Aanpassen aan het model: </w:t>
      </w:r>
      <w:r>
        <w:rPr>
          <w:rFonts w:ascii="Arial" w:cs="Arial" w:eastAsia="Arial" w:hAnsi="Arial"/>
          <w:sz w:val="19"/>
          <w:szCs w:val="19"/>
        </w:rPr>
        <w:t xml:space="preserve">vervang de drie principes door Zien, Voelen, Wegen, Handelen en Volhouden en bespreek per partij.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Mepham, B. (2000). A framework for the ethical analysis of novel foods: The ethical matrix. Journal of Agricultural and Environmental Ethics, 12(2), 165–176. https://doi.org/10.1023/A:1009542714497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ethische matrix (Mepham, 2000).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MW10 Docentenversie – Het recht om offline te zijn</dc:title>
  <dc:creator>Moreel Vakmanschap</dc:creator>
  <cp:lastModifiedBy>Un-named</cp:lastModifiedBy>
  <cp:revision>1</cp:revision>
  <dcterms:created xsi:type="dcterms:W3CDTF">2026-09-29T10:22:51.455Z</dcterms:created>
  <dcterms:modified xsi:type="dcterms:W3CDTF">2026-09-29T10:22:51.455Z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