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4FC3A1" w:sz="24"/>
              <w:right w:val="none" w:color="FFFFFF" w:sz="0"/>
            </w:tcBorders>
            <w:shd w:fill="2E2A5B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MW11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CV scanning tool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4FC3A1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examine a case through six ethical lenses.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argue for each lens which option is most defensible.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make a choice and name the conditions for it. (Weighing)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the HR adviser weighs his judgement about fairness against management’s deadline, the wishes of recruiters and the interests of applicants.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the way the organisation introduces and tests the tool. That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Micro: </w:t>
      </w:r>
      <w:r>
        <w:rPr>
          <w:rFonts w:ascii="Arial" w:cs="Arial" w:eastAsia="Arial" w:hAnsi="Arial"/>
          <w:sz w:val="19"/>
          <w:szCs w:val="19"/>
        </w:rPr>
        <w:t xml:space="preserve">several stakeholders (management, recruiters, applicants, supplier) play a significant role (decision rule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Macro: </w:t>
      </w:r>
      <w:r>
        <w:rPr>
          <w:rFonts w:ascii="Arial" w:cs="Arial" w:eastAsia="Arial" w:hAnsi="Arial"/>
          <w:sz w:val="19"/>
          <w:szCs w:val="19"/>
        </w:rPr>
        <w:t xml:space="preserve">laws and regulations on AI and equal treatment are in the background, but are not the core of the dilemma (decision rule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timer. Groups of 3–6; with six students, one lens per person. Allow 45 minutes.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make sure each lens gets its own voice. Let lenses contradict each other; they do not have to agree.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Source of the lenses: </w:t>
      </w:r>
      <w:r>
        <w:rPr>
          <w:rFonts w:ascii="Arial" w:cs="Arial" w:eastAsia="Arial" w:hAnsi="Arial"/>
          <w:sz w:val="19"/>
          <w:szCs w:val="19"/>
        </w:rPr>
        <w:t xml:space="preserve">the six lenses have been worked out here in our own words (Velasquez et al., 2021).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choose the same option for every lens. Ask: “What could this lens also say in favour of the other option?”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see the lenses as a checklist. Have them put into words what each lens makes visible.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discussion turns to the technology. Bring it back to Ruben’s choice.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SUGGESTIONS FOR THE DEBRIEF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53"/>
        <w:gridCol w:w="3853"/>
      </w:tblGrid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E2A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Lens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E2A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Often supports option A (introduce)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E2A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Often supports option B (postpone)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9E8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E2A5B"/>
                <w:sz w:val="17"/>
                <w:szCs w:val="17"/>
              </w:rPr>
              <w:t xml:space="preserve">Rights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Recruiters have a right to workable processes.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Applicants have a right to equal treatment.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9E8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E2A5B"/>
                <w:sz w:val="17"/>
                <w:szCs w:val="17"/>
              </w:rPr>
              <w:t xml:space="preserve">Justice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Everyone is assessed by the same tool.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Candidates with a gap in their CV are systematically disadvantaged.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9E8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E2A5B"/>
                <w:sz w:val="17"/>
                <w:szCs w:val="17"/>
              </w:rPr>
              <w:t xml:space="preserve">Consequences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Time savings and faster filling of vacancies.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Less harm and reputational damage in the long term.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9E8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E2A5B"/>
                <w:sz w:val="17"/>
                <w:szCs w:val="17"/>
              </w:rPr>
              <w:t xml:space="preserve">Common good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The company gets staff quickly.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Society gets a fairer labour market.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9E8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E2A5B"/>
                <w:sz w:val="17"/>
                <w:szCs w:val="17"/>
              </w:rPr>
              <w:t xml:space="preserve">Virtue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Pragmatism and responsibility for the deadline.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Courage to say that the model is not yet sound.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9E8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E2A5B"/>
                <w:sz w:val="17"/>
                <w:szCs w:val="17"/>
              </w:rPr>
              <w:t xml:space="preserve">Care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Care for an overloaded recruiter.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Care for people who have a gap for caring reasons.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(30 min): </w:t>
      </w:r>
      <w:r>
        <w:rPr>
          <w:rFonts w:ascii="Arial" w:cs="Arial" w:eastAsia="Arial" w:hAnsi="Arial"/>
          <w:sz w:val="19"/>
          <w:szCs w:val="19"/>
        </w:rPr>
        <w:t xml:space="preserve">choose three lenses instead of six.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give each lens its own breakout room or its own column in a shared document.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let six groups each present one lens.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/>
      <w:r/>
      <w:r>
        <w:rPr>
          <w:i/>
        </w:rPr>
        <w:t>Meijer, K. M. T. (2023). Impossible and inevitable: Reconstructing the critique of business ethics [Doctoral dissertation, Tilburg University]. Ridderprint. https://research.tilburguniversity.edu/en/publications/impossible-and-inevitable-reconstructing-the-critique-of-business/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Velasquez, M., Moberg, D., Meyer, M. J., Shanks, T., McLean, M. R., DeCosse, D., André, C., Hanson, K. O., Raicu, I., &amp; Kwan, J. (2021). A framework for ethical decision making. Markkula Center for Applied Ethics, Santa Clara University. https://www.scu.edu/ethics/ethics-resources/a-framework-for-ethical-decision-making/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classified according to the micro – meso – macro distinction (working definition, Lectoraat Ethisch Werken / Professorship Ethical Work, Fontys; inspired by the work of Meijer, 2023).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six ethical lenses (Velasquez et al., 2021, Markkula Center for Applied Ethics).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MW11 The CV scanning tool (Higher education HRM, EN, teacher version)</dc:title>
  <dc:creator>Moreel Vakmanschap</dc:creator>
  <cp:lastModifiedBy>Moral Craftsmanship</cp:lastModifiedBy>
  <cp:revision>1</cp:revision>
  <dcterms:created xsi:type="dcterms:W3CDTF">2026-09-29T09:58:37.270Z</dcterms:created>
  <dcterms:modified xsi:type="dcterms:W3CDTF">2026-09-29T09:58:37.270Z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