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0B4F6C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DOCENTENVERSIE · MW14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Wie raakt de verzuimapp?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HBO · HRM · Nederlands · bij de studentenversie van 2 pagina’s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F2C230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COMPLEXITEIT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LEERUITKOMSTEN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alle betrokkenen bij een organisatiebesluit in kaart brengen, ook indirecte en stille partijen.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per partij benoemen wat er op het spel staat. (Zien)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De student kan reflecteren op de eigen blinde vlek bij het in kaart brengen van belangen. (Zien)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COMPLEXITEIT: WAAROM MESO?</w:t>
      </w:r>
    </w:p>
    <w:p>
      <w:pPr>
        <w:spacing w:after="50" w:line="264"/>
      </w:pPr>
      <w:r>
        <w:rPr>
          <w:rFonts w:ascii="Arial" w:cs="Arial" w:eastAsia="Arial" w:hAnsi="Arial"/>
          <w:i/>
          <w:iCs/>
          <w:sz w:val="19"/>
          <w:szCs w:val="19"/>
        </w:rPr>
        <w:t xml:space="preserve">Meso: de HR-adviseur weegt zijn eigen oordeel af tegen de wens van de directie en de verwachtingen van chauffeurs, planners, teamleiders en de ondernemingsraad.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Toets: </w:t>
      </w:r>
      <w:r>
        <w:rPr>
          <w:rFonts w:ascii="Arial" w:cs="Arial" w:eastAsia="Arial" w:hAnsi="Arial"/>
          <w:sz w:val="19"/>
          <w:szCs w:val="19"/>
        </w:rPr>
        <w:t xml:space="preserve">“Wie of wat zou er moeten veranderen om dit dilemma te laten verdwijnen?” Antwoord: de manier waarop de organisatie het verzuimbeleid invoert. Dat is Meso.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Micro: </w:t>
      </w:r>
      <w:r>
        <w:rPr>
          <w:rFonts w:ascii="Arial" w:cs="Arial" w:eastAsia="Arial" w:hAnsi="Arial"/>
          <w:sz w:val="19"/>
          <w:szCs w:val="19"/>
        </w:rPr>
        <w:t xml:space="preserve">er zijn veel stakeholders en Daan zit vast in zijn rol tussen directie en medewerkers (beslisregel 2).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Niet Macro: </w:t>
      </w:r>
      <w:r>
        <w:rPr>
          <w:rFonts w:ascii="Arial" w:cs="Arial" w:eastAsia="Arial" w:hAnsi="Arial"/>
          <w:sz w:val="19"/>
          <w:szCs w:val="19"/>
        </w:rPr>
        <w:t xml:space="preserve">privacywetgeving speelt op de achtergrond mee, maar is niet de kern van de opdracht (beslisregel 3).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VOORBEREIDING EN VERLOOP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Materiaal: </w:t>
      </w:r>
      <w:r>
        <w:rPr>
          <w:rFonts w:ascii="Arial" w:cs="Arial" w:eastAsia="Arial" w:hAnsi="Arial"/>
          <w:sz w:val="19"/>
          <w:szCs w:val="19"/>
        </w:rPr>
        <w:t xml:space="preserve">studentenversie dubbelzijdig geprint, pennen, timer. Tweetallen of groepjes van 3–4. Neem 30 minuten. Bruikbaar als opstap voor een werkvorm uit de fase Wegen.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Rol van de begeleider: </w:t>
      </w:r>
      <w:r>
        <w:rPr>
          <w:rFonts w:ascii="Arial" w:cs="Arial" w:eastAsia="Arial" w:hAnsi="Arial"/>
          <w:sz w:val="19"/>
          <w:szCs w:val="19"/>
        </w:rPr>
        <w:t xml:space="preserve">vraag door bij “de chauffeurs”: welke chauffeurs? Denk aan verschillen in leeftijd, gezondheid en thuissituatie.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Afspraken vooraf: </w:t>
      </w:r>
      <w:r>
        <w:rPr>
          <w:rFonts w:ascii="Arial" w:cs="Arial" w:eastAsia="Arial" w:hAnsi="Arial"/>
          <w:sz w:val="19"/>
          <w:szCs w:val="19"/>
        </w:rPr>
        <w:t xml:space="preserve">gebruik geen echte namen van collega’s of leidinggevenden uit stage of werk.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VALKUILEN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noemen alleen partijen uit de tekst. Daag ze uit om ook partijen te noemen die niet genoemd worden.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Studenten beoordelen de app als goed of slecht. Deze werkvorm gaat om zien, niet om oordelen.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sz w:val="19"/>
          <w:szCs w:val="19"/>
        </w:rPr>
        <w:t xml:space="preserve">Het vak “stil of afwezig” blijft leeg. Geef een voorbeeld: chauffeurs met een privéprobleem dat ze niet willen delen.</w:t>
      </w:r>
    </w:p>
    <w:p>
      <w:pPr>
        <w:keepNext/>
        <w:pageBreakBefore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MOGELIJKE PARTIJEN OP DE KAART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706"/>
      </w:tblGrid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Ring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0B4F6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Voorbeelden uit de casus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Direct betrokken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Chauffeurs, planners, teamleiders, directie, HR.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Indirect betrokken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Ondernemingsraad, bedrijfsarts, leverancier van de app, reizigers die last hebben van uitval.</w:t>
            </w:r>
          </w:p>
        </w:tc>
      </w:tr>
      <w:tr>
        <w:tc>
          <w:tcPr>
            <w:tcW w:type="dxa" w:w="22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5EF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b/>
                <w:bCs/>
                <w:color w:val="0B4F6C"/>
                <w:sz w:val="17"/>
                <w:szCs w:val="17"/>
              </w:rPr>
              <w:t xml:space="preserve">Stil of afwezig</w:t>
            </w:r>
          </w:p>
        </w:tc>
        <w:tc>
          <w:tcPr>
            <w:tcW w:type="dxa" w:w="7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line="232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Gezinnen van chauffeurs, toekomstige sollicitanten, chauffeurs met een privéprobleem dat ze niet durven te delen.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VARIATIES EN DIFFERENTIATIE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Langer (45 min): </w:t>
      </w:r>
      <w:r>
        <w:rPr>
          <w:rFonts w:ascii="Arial" w:cs="Arial" w:eastAsia="Arial" w:hAnsi="Arial"/>
          <w:sz w:val="19"/>
          <w:szCs w:val="19"/>
        </w:rPr>
        <w:t xml:space="preserve">laat groepjes de kaart aan elkaar presenteren en voeg partijen toe.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Online: </w:t>
      </w:r>
      <w:r>
        <w:rPr>
          <w:rFonts w:ascii="Arial" w:cs="Arial" w:eastAsia="Arial" w:hAnsi="Arial"/>
          <w:sz w:val="19"/>
          <w:szCs w:val="19"/>
        </w:rPr>
        <w:t xml:space="preserve">teken de ringen in een gedeeld whiteboard.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Grote groep: </w:t>
      </w:r>
      <w:r>
        <w:rPr>
          <w:rFonts w:ascii="Arial" w:cs="Arial" w:eastAsia="Arial" w:hAnsi="Arial"/>
          <w:sz w:val="19"/>
          <w:szCs w:val="19"/>
        </w:rPr>
        <w:t xml:space="preserve">maak één kaart op een flap-over waar alle groepjes partijen aan toevoegen.</w:t>
      </w:r>
    </w:p>
    <w:p>
      <w:pPr>
        <w:pStyle w:val="ListParagraph"/>
        <w:numPr>
          <w:ilvl w:val="0"/>
          <w:numId w:val="2"/>
        </w:numPr>
        <w:spacing w:after="40" w:line="2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HBO (deze versie): </w:t>
      </w:r>
      <w:r>
        <w:rPr>
          <w:rFonts w:ascii="Arial" w:cs="Arial" w:eastAsia="Arial" w:hAnsi="Arial"/>
          <w:sz w:val="19"/>
          <w:szCs w:val="19"/>
        </w:rPr>
        <w:t xml:space="preserve">minstens twee ethische perspectieven en een onderbouwde keuze. Voor MBO: B1-taal en één vraag per stap. Voor WO: theorieën expliciet benoemen en bekritiseren.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BRONNEN (APA 7)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Creative Commons. (z.d.). About CC licenses. https://creativecommons.org/share-your-work/cclicenses/</w:t>
      </w:r>
    </w:p>
    <w:p>
      <w:pPr>
        <w:spacing w:after="40" w:line="240"/>
        <w:ind w:left="360" w:hanging="360"/>
      </w:pPr>
      <w:r>
        <w:rPr>
          <w:rFonts w:ascii="Arial" w:cs="Arial" w:eastAsia="Arial" w:hAnsi="Arial"/>
          <w:color w:val="333333"/>
          <w:sz w:val="16"/>
          <w:szCs w:val="16"/>
        </w:rPr>
        <w:t xml:space="preserve">Freeman, R. E. (1984). Strategic management: A stakeholder approach. Pitman.</w:t>
      </w:r>
    </w:p>
    <w:p>
      <w:pPr/>
      <w:r/>
      <w:r>
        <w:rPr>
          <w:i/>
        </w:rPr>
        <w:t>Meijer, K. M. T. (2023). Impossible and inevitable: Reconstructing the critique of business ethics [Proefschrift, Tilburg University]. Ridderprint. https://research.tilburguniversity.edu/en/publications/impossible-and-inevitable-reconstructing-the-critique-of-business/</w:t>
      </w:r>
    </w:p>
    <w:p>
      <w:pPr>
        <w:spacing w:after="0" w:before="4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Complexiteit bepaald met de driedeling micro – meso – macro. De driedeling micro – meso – macro is een werkdefinitie van het Lectoraat Ethisch Werken (Fontys), geïnspireerd op het werk van Meijer (2023).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Werkvorm gebaseerd op: belanghebbendenkaart (Freeman, 1984). Uitwerking en casus: Moreel Vakmanschap, moreelvakmanschap.nl. Licentie: CC BY-SA 4.0 – https://creativecommons.org/licenses/by-sa/4.0/deed.nl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MOREEL VAKMANSCHAP · LECTORAAT ETHISCH WERKEN · DOCENTENVERSIE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MW14 Docentenversie – Wie raakt de verzuimapp?</dc:title>
  <dc:creator>Moreel Vakmanschap</dc:creator>
  <cp:lastModifiedBy>Un-named</cp:lastModifiedBy>
  <cp:revision>1</cp:revision>
  <dcterms:created xsi:type="dcterms:W3CDTF">2026-09-29T09:46:30.873Z</dcterms:created>
  <dcterms:modified xsi:type="dcterms:W3CDTF">2026-09-29T09:46:30.873Z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