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4B942" w:sz="24"/>
              <w:right w:val="none" w:color="FFFFFF" w:sz="0"/>
            </w:tcBorders>
            <w:shd w:fill="234E3D"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MW16 — GIVING VOICE TO VALUES · HRM</w:t>
            </w:r>
          </w:p>
          <w:p>
            <w:pPr>
              <w:spacing w:after="40" w:line="250"/>
            </w:pPr>
            <w:r>
              <w:rPr>
                <w:rFonts w:ascii="Arial" w:cs="Arial" w:eastAsia="Arial" w:hAnsi="Arial"/>
                <w:b/>
                <w:bCs/>
                <w:color w:val="FFFFFF"/>
                <w:sz w:val="34"/>
                <w:szCs w:val="34"/>
              </w:rPr>
              <w:t xml:space="preserve">Ten seconds</w:t>
            </w:r>
          </w:p>
          <w:p>
            <w:pPr>
              <w:spacing w:after="0"/>
            </w:pPr>
            <w:r>
              <w:rPr>
                <w:rFonts w:ascii="Arial" w:cs="Arial" w:eastAsia="Arial" w:hAnsi="Arial"/>
                <w:color w:val="DDE6F0"/>
                <w:sz w:val="19"/>
                <w:szCs w:val="19"/>
              </w:rPr>
              <w:t xml:space="preserve">Case: a temporary employment agency</w:t>
            </w:r>
          </w:p>
        </w:tc>
        <w:tc>
          <w:tcPr>
            <w:tcW w:type="dxa" w:w="2606"/>
            <w:tcBorders>
              <w:top w:val="none" w:color="FFFFFF" w:sz="0"/>
              <w:left w:val="none" w:color="FFFFFF" w:sz="0"/>
              <w:bottom w:val="single" w:color="F4B942"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1D9E75" w:color="auto" w:val="clear"/>
        </w:rPr>
        <w:t xml:space="preserve"> ACTING </w:t>
      </w:r>
      <w:r>
        <w:rPr>
          <w:rFonts w:ascii="Arial" w:cs="Arial" w:eastAsia="Arial" w:hAnsi="Arial"/>
          <w:sz w:val="17"/>
          <w:szCs w:val="17"/>
        </w:rPr>
        <w:t xml:space="preserve">  </w:t>
      </w:r>
      <w:r>
        <w:rPr>
          <w:rFonts w:ascii="Arial" w:cs="Arial" w:eastAsia="Arial" w:hAnsi="Arial"/>
          <w:b/>
          <w:bCs/>
          <w:color w:val="FFFFFF"/>
          <w:sz w:val="17"/>
          <w:szCs w:val="17"/>
          <w:shd w:fill="E2694B" w:color="auto" w:val="clear"/>
        </w:rPr>
        <w:t xml:space="preserve"> PERSISTING </w:t>
      </w:r>
      <w:r>
        <w:rPr>
          <w:rFonts w:ascii="Arial" w:cs="Arial" w:eastAsia="Arial" w:hAnsi="Arial"/>
          <w:sz w:val="17"/>
          <w:szCs w:val="17"/>
        </w:rPr>
        <w:t xml:space="preserve">  </w:t>
      </w:r>
      <w:r>
        <w:rPr>
          <w:rFonts w:ascii="Arial" w:cs="Arial" w:eastAsia="Arial" w:hAnsi="Arial"/>
          <w:color w:val="5F5E5A"/>
          <w:sz w:val="17"/>
          <w:szCs w:val="17"/>
        </w:rPr>
        <w:t xml:space="preserve">     Time: 60 min     Group: 2–5 students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4B942" w:sz="6"/>
              <w:left w:val="single" w:color="F4B942" w:sz="6"/>
              <w:bottom w:val="single" w:color="F4B942" w:sz="6"/>
              <w:right w:val="single" w:color="F4B942"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8F0EB"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It is Monday morning, the weekly meeting of the recruitment team of a large temporary employment agency. Lotte (25) has been a recruiter for eight months. Team leader Sander discusses a vacancy for an administrative assistant. “I’d rather you didn’t send me candidates over fifty,” he says. “They’re expensive and don’t fit in the team.” Two colleagues nod. Someone makes a joke about it.</w:t>
            </w:r>
          </w:p>
          <w:p>
            <w:pPr>
              <w:spacing w:after="100" w:line="288"/>
            </w:pPr>
            <w:r>
              <w:rPr>
                <w:rFonts w:ascii="Arial" w:cs="Arial" w:eastAsia="Arial" w:hAnsi="Arial"/>
                <w:sz w:val="21"/>
                <w:szCs w:val="21"/>
              </w:rPr>
              <w:t xml:space="preserve">Lotte feels her cheeks getting warm. She knows this is not right. It is unfair and probably against the agency’s rules. She also knows that Sander writes her appraisal, that three colleagues’ contracts will expire soon and that nobody here ever goes against him.</w:t>
            </w:r>
          </w:p>
          <w:p>
            <w:pPr>
              <w:spacing w:after="40" w:line="288"/>
            </w:pPr>
            <w:r>
              <w:rPr>
                <w:rFonts w:ascii="Arial" w:cs="Arial" w:eastAsia="Arial" w:hAnsi="Arial"/>
                <w:sz w:val="21"/>
                <w:szCs w:val="21"/>
              </w:rPr>
              <w:t xml:space="preserve">The meeting is almost over. Sander looks around: “All good?” There is a brief silence. Lotte has perhaps ten seconds to say something.</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Read the case. Underline what is at stake for Lotte.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Write down what Lotte believes is right and what is at stake, and for whom. </w:t>
      </w:r>
      <w:r>
        <w:rPr>
          <w:rFonts w:ascii="Arial" w:cs="Arial" w:eastAsia="Arial" w:hAnsi="Arial"/>
          <w:i/>
          <w:iCs/>
          <w:color w:val="5F5E5A"/>
          <w:sz w:val="18"/>
          <w:szCs w:val="18"/>
        </w:rPr>
        <w:t xml:space="preserve">(8 min)</w:t>
      </w:r>
    </w:p>
    <w:p>
      <w:pPr>
        <w:pStyle w:val="ListParagraph"/>
        <w:numPr>
          <w:ilvl w:val="0"/>
          <w:numId w:val="2"/>
        </w:numPr>
        <w:spacing w:after="50" w:line="264"/>
      </w:pPr>
      <w:r>
        <w:rPr>
          <w:rFonts w:ascii="Arial" w:cs="Arial" w:eastAsia="Arial" w:hAnsi="Arial"/>
          <w:sz w:val="20"/>
          <w:szCs w:val="20"/>
        </w:rPr>
        <w:t xml:space="preserve">Collect the counterarguments she hears or thinks. For each argument, come up with an answer and an ally. </w:t>
      </w:r>
      <w:r>
        <w:rPr>
          <w:rFonts w:ascii="Arial" w:cs="Arial" w:eastAsia="Arial" w:hAnsi="Arial"/>
          <w:i/>
          <w:iCs/>
          <w:color w:val="5F5E5A"/>
          <w:sz w:val="18"/>
          <w:szCs w:val="18"/>
        </w:rPr>
        <w:t xml:space="preserve">(12 min)</w:t>
      </w:r>
    </w:p>
    <w:p>
      <w:pPr>
        <w:pStyle w:val="ListParagraph"/>
        <w:numPr>
          <w:ilvl w:val="0"/>
          <w:numId w:val="2"/>
        </w:numPr>
        <w:spacing w:after="50" w:line="264"/>
      </w:pPr>
      <w:r>
        <w:rPr>
          <w:rFonts w:ascii="Arial" w:cs="Arial" w:eastAsia="Arial" w:hAnsi="Arial"/>
          <w:sz w:val="20"/>
          <w:szCs w:val="20"/>
        </w:rPr>
        <w:t xml:space="preserve">Write the script: the first sentence Lotte says and what she does next.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Practise in pairs. One plays Lotte, the other Sander. Swap after ten minutes. </w:t>
      </w:r>
      <w:r>
        <w:rPr>
          <w:rFonts w:ascii="Arial" w:cs="Arial" w:eastAsia="Arial" w:hAnsi="Arial"/>
          <w:i/>
          <w:iCs/>
          <w:color w:val="5F5E5A"/>
          <w:sz w:val="18"/>
          <w:szCs w:val="18"/>
        </w:rPr>
        <w:t xml:space="preserve">(20 min)</w:t>
      </w:r>
    </w:p>
    <w:p>
      <w:pPr>
        <w:keepNext/>
        <w:pBdr>
          <w:bottom w:val="single" w:color="5B2D8E" w:sz="8" w:space="2"/>
        </w:pBdr>
        <w:spacing w:after="90" w:before="200"/>
      </w:pPr>
      <w:r>
        <w:rPr>
          <w:rFonts w:ascii="Arial" w:cs="Arial" w:eastAsia="Arial" w:hAnsi="Arial"/>
          <w:b/>
          <w:bCs/>
          <w:color w:val="5B2D8E"/>
          <w:spacing w:val="30"/>
          <w:sz w:val="20"/>
          <w:szCs w:val="20"/>
        </w:rPr>
        <w:t xml:space="preserve">STEP 2 — WHAT IS RIGHT, AND WHAT IS AT STAKE?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BFC5CC" w:sz="4"/>
              <w:left w:val="single" w:color="BFC5CC" w:sz="4"/>
              <w:bottom w:val="single" w:color="BFC5CC" w:sz="4"/>
              <w:right w:val="single" w:color="BFC5CC" w:sz="4"/>
            </w:tcBorders>
            <w:shd w:fill="234E3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What Lotte believes is right</w:t>
            </w:r>
          </w:p>
        </w:tc>
        <w:tc>
          <w:tcPr>
            <w:tcW w:type="dxa" w:w="4953"/>
            <w:tcBorders>
              <w:top w:val="single" w:color="BFC5CC" w:sz="4"/>
              <w:left w:val="single" w:color="BFC5CC" w:sz="4"/>
              <w:bottom w:val="single" w:color="BFC5CC" w:sz="4"/>
              <w:right w:val="single" w:color="BFC5CC" w:sz="4"/>
            </w:tcBorders>
            <w:shd w:fill="234E3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What is at stake (and for whom)</w:t>
            </w:r>
          </w:p>
        </w:tc>
      </w:tr>
      <w:tr>
        <w:trPr>
          <w:trHeight w:val="700" w:hRule="atLeast"/>
        </w:trPr>
        <w:tc>
          <w:tcPr>
            <w:tcW w:type="dxa" w:w="4953"/>
            <w:tcBorders>
              <w:top w:val="single" w:color="BFC5CC" w:sz="4"/>
              <w:left w:val="single" w:color="BFC5CC" w:sz="4"/>
              <w:bottom w:val="single" w:color="BFC5CC" w:sz="4"/>
              <w:right w:val="single" w:color="BFC5CC" w:sz="4"/>
            </w:tcBorders>
            <w:shd w:fill="E8F0EB" w:color="auto" w:val="clear"/>
            <w:tcMar>
              <w:top w:type="dxa" w:w="80"/>
              <w:left w:type="dxa" w:w="110"/>
              <w:bottom w:type="dxa" w:w="80"/>
              <w:right w:type="dxa" w:w="110"/>
            </w:tcMar>
          </w:tcPr>
          <w:p>
            <w:pPr>
              <w:spacing w:after="20"/>
            </w:pPr>
            <w:r>
              <w:rPr>
                <w:rFonts w:ascii="Arial" w:cs="Arial" w:eastAsia="Arial" w:hAnsi="Arial"/>
                <w:b/>
                <w:bCs/>
                <w:color w:val="234E3D"/>
                <w:sz w:val="19"/>
                <w:szCs w:val="19"/>
              </w:rPr>
              <w:t xml:space="preserve"/>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STEP 3 — COUNTERARGUMENTS AND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4106"/>
        <w:gridCol w:w="2000"/>
      </w:tblGrid>
      <w:tr>
        <w:trPr>
          <w:tblHeader/>
        </w:trPr>
        <w:tc>
          <w:tcPr>
            <w:tcW w:type="dxa" w:w="600"/>
            <w:tcBorders>
              <w:top w:val="single" w:color="BFC5CC" w:sz="4"/>
              <w:left w:val="single" w:color="BFC5CC" w:sz="4"/>
              <w:bottom w:val="single" w:color="BFC5CC" w:sz="4"/>
              <w:right w:val="single" w:color="BFC5CC" w:sz="4"/>
            </w:tcBorders>
            <w:shd w:fill="234E3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3200"/>
            <w:tcBorders>
              <w:top w:val="single" w:color="BFC5CC" w:sz="4"/>
              <w:left w:val="single" w:color="BFC5CC" w:sz="4"/>
              <w:bottom w:val="single" w:color="BFC5CC" w:sz="4"/>
              <w:right w:val="single" w:color="BFC5CC" w:sz="4"/>
            </w:tcBorders>
            <w:shd w:fill="234E3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What Sander or the team says</w:t>
            </w:r>
          </w:p>
        </w:tc>
        <w:tc>
          <w:tcPr>
            <w:tcW w:type="dxa" w:w="4106"/>
            <w:tcBorders>
              <w:top w:val="single" w:color="BFC5CC" w:sz="4"/>
              <w:left w:val="single" w:color="BFC5CC" w:sz="4"/>
              <w:bottom w:val="single" w:color="BFC5CC" w:sz="4"/>
              <w:right w:val="single" w:color="BFC5CC" w:sz="4"/>
            </w:tcBorders>
            <w:shd w:fill="234E3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My answer</w:t>
            </w:r>
          </w:p>
        </w:tc>
        <w:tc>
          <w:tcPr>
            <w:tcW w:type="dxa" w:w="2000"/>
            <w:tcBorders>
              <w:top w:val="single" w:color="BFC5CC" w:sz="4"/>
              <w:left w:val="single" w:color="BFC5CC" w:sz="4"/>
              <w:bottom w:val="single" w:color="BFC5CC" w:sz="4"/>
              <w:right w:val="single" w:color="BFC5CC" w:sz="4"/>
            </w:tcBorders>
            <w:shd w:fill="234E3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Ally</w:t>
            </w:r>
          </w:p>
        </w:tc>
      </w:tr>
      <w:tr>
        <w:trPr>
          <w:trHeight w:val="620" w:hRule="atLeast"/>
        </w:trPr>
        <w:tc>
          <w:tcPr>
            <w:tcW w:type="dxa" w:w="600"/>
            <w:tcBorders>
              <w:top w:val="single" w:color="BFC5CC" w:sz="4"/>
              <w:left w:val="single" w:color="BFC5CC" w:sz="4"/>
              <w:bottom w:val="single" w:color="BFC5CC" w:sz="4"/>
              <w:right w:val="single" w:color="BFC5CC" w:sz="4"/>
            </w:tcBorders>
            <w:shd w:fill="E8F0EB" w:color="auto" w:val="clear"/>
            <w:tcMar>
              <w:top w:type="dxa" w:w="80"/>
              <w:left w:type="dxa" w:w="110"/>
              <w:bottom w:type="dxa" w:w="80"/>
              <w:right w:type="dxa" w:w="110"/>
            </w:tcMar>
          </w:tcPr>
          <w:p>
            <w:pPr>
              <w:spacing w:after="20"/>
            </w:pPr>
            <w:r>
              <w:rPr>
                <w:rFonts w:ascii="Arial" w:cs="Arial" w:eastAsia="Arial" w:hAnsi="Arial"/>
                <w:b/>
                <w:bCs/>
                <w:color w:val="234E3D"/>
                <w:sz w:val="19"/>
                <w:szCs w:val="19"/>
              </w:rPr>
              <w:t xml:space="preserve">1</w:t>
            </w:r>
          </w:p>
        </w:tc>
        <w:tc>
          <w:tcPr>
            <w:tcW w:type="dxa" w:w="3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20" w:hRule="atLeast"/>
        </w:trPr>
        <w:tc>
          <w:tcPr>
            <w:tcW w:type="dxa" w:w="600"/>
            <w:tcBorders>
              <w:top w:val="single" w:color="BFC5CC" w:sz="4"/>
              <w:left w:val="single" w:color="BFC5CC" w:sz="4"/>
              <w:bottom w:val="single" w:color="BFC5CC" w:sz="4"/>
              <w:right w:val="single" w:color="BFC5CC" w:sz="4"/>
            </w:tcBorders>
            <w:shd w:fill="E8F0EB" w:color="auto" w:val="clear"/>
            <w:tcMar>
              <w:top w:type="dxa" w:w="80"/>
              <w:left w:type="dxa" w:w="110"/>
              <w:bottom w:type="dxa" w:w="80"/>
              <w:right w:type="dxa" w:w="110"/>
            </w:tcMar>
          </w:tcPr>
          <w:p>
            <w:pPr>
              <w:spacing w:after="20"/>
            </w:pPr>
            <w:r>
              <w:rPr>
                <w:rFonts w:ascii="Arial" w:cs="Arial" w:eastAsia="Arial" w:hAnsi="Arial"/>
                <w:b/>
                <w:bCs/>
                <w:color w:val="234E3D"/>
                <w:sz w:val="19"/>
                <w:szCs w:val="19"/>
              </w:rPr>
              <w:t xml:space="preserve">2</w:t>
            </w:r>
          </w:p>
        </w:tc>
        <w:tc>
          <w:tcPr>
            <w:tcW w:type="dxa" w:w="3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20" w:hRule="atLeast"/>
        </w:trPr>
        <w:tc>
          <w:tcPr>
            <w:tcW w:type="dxa" w:w="600"/>
            <w:tcBorders>
              <w:top w:val="single" w:color="BFC5CC" w:sz="4"/>
              <w:left w:val="single" w:color="BFC5CC" w:sz="4"/>
              <w:bottom w:val="single" w:color="BFC5CC" w:sz="4"/>
              <w:right w:val="single" w:color="BFC5CC" w:sz="4"/>
            </w:tcBorders>
            <w:shd w:fill="E8F0EB" w:color="auto" w:val="clear"/>
            <w:tcMar>
              <w:top w:type="dxa" w:w="80"/>
              <w:left w:type="dxa" w:w="110"/>
              <w:bottom w:type="dxa" w:w="80"/>
              <w:right w:type="dxa" w:w="110"/>
            </w:tcMar>
          </w:tcPr>
          <w:p>
            <w:pPr>
              <w:spacing w:after="20"/>
            </w:pPr>
            <w:r>
              <w:rPr>
                <w:rFonts w:ascii="Arial" w:cs="Arial" w:eastAsia="Arial" w:hAnsi="Arial"/>
                <w:b/>
                <w:bCs/>
                <w:color w:val="234E3D"/>
                <w:sz w:val="19"/>
                <w:szCs w:val="19"/>
              </w:rPr>
              <w:t xml:space="preserve">3</w:t>
            </w:r>
          </w:p>
        </w:tc>
        <w:tc>
          <w:tcPr>
            <w:tcW w:type="dxa" w:w="3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STEP 4 — MY SCRIPT</w:t>
      </w:r>
    </w:p>
    <w:p>
      <w:pPr>
        <w:spacing w:after="0"/>
      </w:pPr>
      <w:r>
        <w:rPr>
          <w:rFonts w:ascii="Arial" w:cs="Arial" w:eastAsia="Arial" w:hAnsi="Arial"/>
          <w:b/>
          <w:bCs/>
          <w:sz w:val="20"/>
          <w:szCs w:val="20"/>
        </w:rPr>
        <w:t xml:space="preserve">My first sentence (short, concrete, respectful):</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spacing w:after="0"/>
      </w:pPr>
      <w:r>
        <w:rPr>
          <w:rFonts w:ascii="Arial" w:cs="Arial" w:eastAsia="Arial" w:hAnsi="Arial"/>
          <w:b/>
          <w:bCs/>
          <w:sz w:val="20"/>
          <w:szCs w:val="20"/>
        </w:rPr>
        <w:t xml:space="preserve">Then I say or do:</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1D9E75" w:color="auto" w:val="clear"/>
        </w:rPr>
        <w:t xml:space="preserve"> ACTING </w:t>
      </w:r>
      <w:r>
        <w:rPr>
          <w:rFonts w:ascii="Arial" w:cs="Arial" w:eastAsia="Arial" w:hAnsi="Arial"/>
          <w:sz w:val="20"/>
          <w:szCs w:val="20"/>
        </w:rPr>
        <w:t xml:space="preserve">  What exactly do you say, and what do you do if Sander pushes back?</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E2694B" w:color="auto" w:val="clear"/>
        </w:rPr>
        <w:t xml:space="preserve"> PERSISTING </w:t>
      </w:r>
      <w:r>
        <w:rPr>
          <w:rFonts w:ascii="Arial" w:cs="Arial" w:eastAsia="Arial" w:hAnsi="Arial"/>
          <w:sz w:val="20"/>
          <w:szCs w:val="20"/>
        </w:rPr>
        <w:t xml:space="preserve">  What helps you to do this even when nobody supports you? Who is your ally?</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voicing and practising values (Gentile, 2010).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d244de2c583b3a7fc090760036152cb2ead5a8.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MW16 Ten seconds (Higher education HRM, EN, student version)</dc:title>
  <dc:creator>Moreel Vakmanschap</dc:creator>
  <cp:lastModifiedBy>Moral Craftsmanship</cp:lastModifiedBy>
  <cp:revision>1</cp:revision>
  <dcterms:created xsi:type="dcterms:W3CDTF">2026-09-29T10:04:58.513Z</dcterms:created>
  <dcterms:modified xsi:type="dcterms:W3CDTF">2026-09-29T10:04:58.513Z</dcterms:modified>
  <dc:language>en-GB</dc:language>
</cp:coreProperties>
</file>

<file path=docProps/custom.xml><?xml version="1.0" encoding="utf-8"?>
<Properties xmlns="http://schemas.openxmlformats.org/officeDocument/2006/custom-properties" xmlns:vt="http://schemas.openxmlformats.org/officeDocument/2006/docPropsVTypes"/>
</file>