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4B942" w:sz="24"/>
              <w:right w:val="none" w:color="FFFFFF" w:sz="0"/>
            </w:tcBorders>
            <w:shd w:fill="234E3D"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DOCENTENVERSIE · MW16</w:t>
            </w:r>
          </w:p>
          <w:p>
            <w:pPr>
              <w:spacing w:after="40" w:line="250"/>
            </w:pPr>
            <w:r>
              <w:rPr>
                <w:rFonts w:ascii="Arial" w:cs="Arial" w:eastAsia="Arial" w:hAnsi="Arial"/>
                <w:b/>
                <w:bCs/>
                <w:color w:val="FFFFFF"/>
                <w:sz w:val="34"/>
                <w:szCs w:val="34"/>
              </w:rPr>
              <w:t xml:space="preserve">Tien seconden</w:t>
            </w:r>
          </w:p>
          <w:p>
            <w:pPr>
              <w:spacing w:after="0"/>
            </w:pPr>
            <w:r>
              <w:rPr>
                <w:rFonts w:ascii="Arial" w:cs="Arial" w:eastAsia="Arial" w:hAnsi="Arial"/>
                <w:color w:val="DDE6F0"/>
                <w:sz w:val="19"/>
                <w:szCs w:val="19"/>
              </w:rPr>
              <w:t xml:space="preserve">HBO · HRM · Nederlands · bij de studentenversie van 2 pagina’s</w:t>
            </w:r>
          </w:p>
        </w:tc>
        <w:tc>
          <w:tcPr>
            <w:tcW w:type="dxa" w:w="2606"/>
            <w:tcBorders>
              <w:top w:val="none" w:color="FFFFFF" w:sz="0"/>
              <w:left w:val="none" w:color="FFFFFF" w:sz="0"/>
              <w:bottom w:val="single" w:color="F4B94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pStyle w:val="ListParagraph"/>
        <w:numPr>
          <w:ilvl w:val="0"/>
          <w:numId w:val="2"/>
        </w:numPr>
        <w:spacing w:after="40" w:line="260"/>
      </w:pPr>
      <w:r>
        <w:rPr>
          <w:rFonts w:ascii="Arial" w:cs="Arial" w:eastAsia="Arial" w:hAnsi="Arial"/>
          <w:sz w:val="19"/>
          <w:szCs w:val="19"/>
        </w:rPr>
        <w:t xml:space="preserve">De student kan een eigen standpunt over wat juist is verwoorden in een spanningsvolle situatie. (Handelen)</w:t>
      </w:r>
    </w:p>
    <w:p>
      <w:pPr>
        <w:pStyle w:val="ListParagraph"/>
        <w:numPr>
          <w:ilvl w:val="0"/>
          <w:numId w:val="2"/>
        </w:numPr>
        <w:spacing w:after="40" w:line="260"/>
      </w:pPr>
      <w:r>
        <w:rPr>
          <w:rFonts w:ascii="Arial" w:cs="Arial" w:eastAsia="Arial" w:hAnsi="Arial"/>
          <w:sz w:val="19"/>
          <w:szCs w:val="19"/>
        </w:rPr>
        <w:t xml:space="preserve">De student kan tegenargumenten en rationalisaties herkennen en beantwoorden. (Handelen)</w:t>
      </w:r>
    </w:p>
    <w:p>
      <w:pPr>
        <w:pStyle w:val="ListParagraph"/>
        <w:numPr>
          <w:ilvl w:val="0"/>
          <w:numId w:val="2"/>
        </w:numPr>
        <w:spacing w:after="40" w:line="260"/>
      </w:pPr>
      <w:r>
        <w:rPr>
          <w:rFonts w:ascii="Arial" w:cs="Arial" w:eastAsia="Arial" w:hAnsi="Arial"/>
          <w:sz w:val="19"/>
          <w:szCs w:val="19"/>
        </w:rPr>
        <w:t xml:space="preserve">De student kan bondgenoten en hulpbronnen benoemen om onder druk vol te houden.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50" w:line="264"/>
      </w:pPr>
      <w:r>
        <w:rPr>
          <w:rFonts w:ascii="Arial" w:cs="Arial" w:eastAsia="Arial" w:hAnsi="Arial"/>
          <w:i/>
          <w:iCs/>
          <w:sz w:val="19"/>
          <w:szCs w:val="19"/>
        </w:rPr>
        <w:t xml:space="preserve">Meso: de recruiter weegt haar eigen oordeel af tegen de cultuur van het team, de rol van haar leidinggevende en de verwachtingen van collega’s.</w:t>
      </w:r>
    </w:p>
    <w:p>
      <w:pPr>
        <w:pStyle w:val="ListParagraph"/>
        <w:numPr>
          <w:ilvl w:val="0"/>
          <w:numId w:val="2"/>
        </w:numPr>
        <w:spacing w:after="40" w:line="260"/>
      </w:pPr>
      <w:r>
        <w:rPr>
          <w:rFonts w:ascii="Arial" w:cs="Arial" w:eastAsia="Arial" w:hAnsi="Arial"/>
          <w:b/>
          <w:bCs/>
          <w:sz w:val="19"/>
          <w:szCs w:val="19"/>
        </w:rPr>
        <w:t xml:space="preserve">Toets: </w:t>
      </w:r>
      <w:r>
        <w:rPr>
          <w:rFonts w:ascii="Arial" w:cs="Arial" w:eastAsia="Arial" w:hAnsi="Arial"/>
          <w:sz w:val="19"/>
          <w:szCs w:val="19"/>
        </w:rPr>
        <w:t xml:space="preserve">“Wie of wat zou er moeten veranderen om dit dilemma te laten verdwijnen?” Antwoord: de cultuur en regels van het team en de organisatie. Dat is Meso.</w:t>
      </w:r>
    </w:p>
    <w:p>
      <w:pPr>
        <w:pStyle w:val="ListParagraph"/>
        <w:numPr>
          <w:ilvl w:val="0"/>
          <w:numId w:val="2"/>
        </w:numPr>
        <w:spacing w:after="40" w:line="260"/>
      </w:pPr>
      <w:r>
        <w:rPr>
          <w:rFonts w:ascii="Arial" w:cs="Arial" w:eastAsia="Arial" w:hAnsi="Arial"/>
          <w:b/>
          <w:bCs/>
          <w:sz w:val="19"/>
          <w:szCs w:val="19"/>
        </w:rPr>
        <w:t xml:space="preserve">Niet Micro: </w:t>
      </w:r>
      <w:r>
        <w:rPr>
          <w:rFonts w:ascii="Arial" w:cs="Arial" w:eastAsia="Arial" w:hAnsi="Arial"/>
          <w:sz w:val="19"/>
          <w:szCs w:val="19"/>
        </w:rPr>
        <w:t xml:space="preserve">de cultuur van het team en de machtsrol van de leidinggevende spelen een wezenlijke rol (beslisregel 2).</w:t>
      </w:r>
    </w:p>
    <w:p>
      <w:pPr>
        <w:pStyle w:val="ListParagraph"/>
        <w:numPr>
          <w:ilvl w:val="0"/>
          <w:numId w:val="2"/>
        </w:numPr>
        <w:spacing w:after="40" w:line="260"/>
      </w:pPr>
      <w:r>
        <w:rPr>
          <w:rFonts w:ascii="Arial" w:cs="Arial" w:eastAsia="Arial" w:hAnsi="Arial"/>
          <w:b/>
          <w:bCs/>
          <w:sz w:val="19"/>
          <w:szCs w:val="19"/>
        </w:rPr>
        <w:t xml:space="preserve">Niet Macro: </w:t>
      </w:r>
      <w:r>
        <w:rPr>
          <w:rFonts w:ascii="Arial" w:cs="Arial" w:eastAsia="Arial" w:hAnsi="Arial"/>
          <w:sz w:val="19"/>
          <w:szCs w:val="19"/>
        </w:rPr>
        <w:t xml:space="preserve">de wet tegen leeftijdsdiscriminatie speelt op de achtergrond mee, maar de kern is hoe Lotte in het team reageert (beslisregel 3).</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pStyle w:val="ListParagraph"/>
        <w:numPr>
          <w:ilvl w:val="0"/>
          <w:numId w:val="2"/>
        </w:numPr>
        <w:spacing w:after="40" w:line="260"/>
      </w:pPr>
      <w:r>
        <w:rPr>
          <w:rFonts w:ascii="Arial" w:cs="Arial" w:eastAsia="Arial" w:hAnsi="Arial"/>
          <w:b/>
          <w:bCs/>
          <w:sz w:val="19"/>
          <w:szCs w:val="19"/>
        </w:rPr>
        <w:t xml:space="preserve">Materiaal: </w:t>
      </w:r>
      <w:r>
        <w:rPr>
          <w:rFonts w:ascii="Arial" w:cs="Arial" w:eastAsia="Arial" w:hAnsi="Arial"/>
          <w:sz w:val="19"/>
          <w:szCs w:val="19"/>
        </w:rPr>
        <w:t xml:space="preserve">studentenversie dubbelzijdig geprint, pennen, timer. Groepjes van 2–5; oefenen in tweetallen. Neem 60 minuten.</w:t>
      </w:r>
    </w:p>
    <w:p>
      <w:pPr>
        <w:pStyle w:val="ListParagraph"/>
        <w:numPr>
          <w:ilvl w:val="0"/>
          <w:numId w:val="2"/>
        </w:numPr>
        <w:spacing w:after="40" w:line="260"/>
      </w:pPr>
      <w:r>
        <w:rPr>
          <w:rFonts w:ascii="Arial" w:cs="Arial" w:eastAsia="Arial" w:hAnsi="Arial"/>
          <w:b/>
          <w:bCs/>
          <w:sz w:val="19"/>
          <w:szCs w:val="19"/>
        </w:rPr>
        <w:t xml:space="preserve">Rol van de begeleider: </w:t>
      </w:r>
      <w:r>
        <w:rPr>
          <w:rFonts w:ascii="Arial" w:cs="Arial" w:eastAsia="Arial" w:hAnsi="Arial"/>
          <w:sz w:val="19"/>
          <w:szCs w:val="19"/>
        </w:rPr>
        <w:t xml:space="preserve">de vraag is niet óf Lotte iets zegt, maar hoe. Ga uit van wat zij al weet dat juist is. Loop rond tijdens het oefenen en geef feedback op de eerste zin.</w:t>
      </w:r>
    </w:p>
    <w:p>
      <w:pPr>
        <w:pStyle w:val="ListParagraph"/>
        <w:numPr>
          <w:ilvl w:val="0"/>
          <w:numId w:val="2"/>
        </w:numPr>
        <w:spacing w:after="40" w:line="260"/>
      </w:pPr>
      <w:r>
        <w:rPr>
          <w:rFonts w:ascii="Arial" w:cs="Arial" w:eastAsia="Arial" w:hAnsi="Arial"/>
          <w:b/>
          <w:bCs/>
          <w:sz w:val="19"/>
          <w:szCs w:val="19"/>
        </w:rPr>
        <w:t xml:space="preserve">Afspraken vooraf: </w:t>
      </w:r>
      <w:r>
        <w:rPr>
          <w:rFonts w:ascii="Arial" w:cs="Arial" w:eastAsia="Arial" w:hAnsi="Arial"/>
          <w:sz w:val="19"/>
          <w:szCs w:val="19"/>
        </w:rPr>
        <w:t xml:space="preserve">rollenspel is vrijwillig en fictief. Wie Sander speelt, blijft respectvol.</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pStyle w:val="ListParagraph"/>
        <w:numPr>
          <w:ilvl w:val="0"/>
          <w:numId w:val="2"/>
        </w:numPr>
        <w:spacing w:after="40" w:line="260"/>
      </w:pPr>
      <w:r>
        <w:rPr>
          <w:rFonts w:ascii="Arial" w:cs="Arial" w:eastAsia="Arial" w:hAnsi="Arial"/>
          <w:sz w:val="19"/>
          <w:szCs w:val="19"/>
        </w:rPr>
        <w:t xml:space="preserve">Studenten vragen of Lotte wel iets móét zeggen. Herinner aan het uitgangspunt: ze weet wat juist is; het gaat om het hoe.</w:t>
      </w:r>
    </w:p>
    <w:p>
      <w:pPr>
        <w:pStyle w:val="ListParagraph"/>
        <w:numPr>
          <w:ilvl w:val="0"/>
          <w:numId w:val="2"/>
        </w:numPr>
        <w:spacing w:after="40" w:line="260"/>
      </w:pPr>
      <w:r>
        <w:rPr>
          <w:rFonts w:ascii="Arial" w:cs="Arial" w:eastAsia="Arial" w:hAnsi="Arial"/>
          <w:sz w:val="19"/>
          <w:szCs w:val="19"/>
        </w:rPr>
        <w:t xml:space="preserve">Het script wordt een preek. Vraag om een korte, concrete, respectvolle zin.</w:t>
      </w:r>
    </w:p>
    <w:p>
      <w:pPr>
        <w:pStyle w:val="ListParagraph"/>
        <w:numPr>
          <w:ilvl w:val="0"/>
          <w:numId w:val="2"/>
        </w:numPr>
        <w:spacing w:after="40" w:line="260"/>
      </w:pPr>
      <w:r>
        <w:rPr>
          <w:rFonts w:ascii="Arial" w:cs="Arial" w:eastAsia="Arial" w:hAnsi="Arial"/>
          <w:sz w:val="19"/>
          <w:szCs w:val="19"/>
        </w:rPr>
        <w:t xml:space="preserve">Studenten spelen Sander als schurk. Vraag hem te spelen zoals hij zichzelf ziet.</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VOORBEELDEN VAN TEGENARGUMENTEN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c>
          <w:tcPr>
            <w:tcW w:type="dxa" w:w="3300"/>
            <w:tcBorders>
              <w:top w:val="single" w:color="BFC5CC" w:sz="4"/>
              <w:left w:val="single" w:color="BFC5CC" w:sz="4"/>
              <w:bottom w:val="single" w:color="BFC5CC" w:sz="4"/>
              <w:right w:val="single" w:color="BFC5CC" w:sz="4"/>
            </w:tcBorders>
            <w:shd w:fill="234E3D"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Argument</w:t>
            </w:r>
          </w:p>
        </w:tc>
        <w:tc>
          <w:tcPr>
            <w:tcW w:type="dxa" w:w="6606"/>
            <w:tcBorders>
              <w:top w:val="single" w:color="BFC5CC" w:sz="4"/>
              <w:left w:val="single" w:color="BFC5CC" w:sz="4"/>
              <w:bottom w:val="single" w:color="BFC5CC" w:sz="4"/>
              <w:right w:val="single" w:color="BFC5CC" w:sz="4"/>
            </w:tcBorders>
            <w:shd w:fill="234E3D"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Mogelijke richting van het antwoord</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“Zo doen wij het al jaren.”</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Verwijs naar de regels van het bureau en het risico voor het bureau.</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“Klanten vragen erom.”</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Vraag of een klantwens een reden is om mensen uit te sluiten.</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“Het is maar een opmerking.”</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Benoem dat een opmerking in het overleg ook onze werkwijze bepaalt.</w:t>
            </w:r>
          </w:p>
        </w:tc>
      </w:tr>
      <w:tr>
        <w:tc>
          <w:tcPr>
            <w:tcW w:type="dxa" w:w="3300"/>
            <w:tcBorders>
              <w:top w:val="single" w:color="BFC5CC" w:sz="4"/>
              <w:left w:val="single" w:color="BFC5CC" w:sz="4"/>
              <w:bottom w:val="single" w:color="BFC5CC" w:sz="4"/>
              <w:right w:val="single" w:color="BFC5CC" w:sz="4"/>
            </w:tcBorders>
            <w:shd w:fill="E8F0EB" w:color="auto" w:val="clear"/>
            <w:tcMar>
              <w:top w:type="dxa" w:w="60"/>
              <w:left w:type="dxa" w:w="100"/>
              <w:bottom w:type="dxa" w:w="60"/>
              <w:right w:type="dxa" w:w="100"/>
            </w:tcMar>
          </w:tcPr>
          <w:p>
            <w:pPr>
              <w:spacing w:after="20" w:line="232"/>
            </w:pPr>
            <w:r>
              <w:rPr>
                <w:rFonts w:ascii="Arial" w:cs="Arial" w:eastAsia="Arial" w:hAnsi="Arial"/>
                <w:b/>
                <w:bCs/>
                <w:color w:val="234E3D"/>
                <w:sz w:val="17"/>
                <w:szCs w:val="17"/>
              </w:rPr>
              <w:t xml:space="preserve">“Wil je dit nu echt groot maken?”</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Houd het klein en concreet; bied aan het na het overleg te bespreken.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pStyle w:val="ListParagraph"/>
        <w:numPr>
          <w:ilvl w:val="0"/>
          <w:numId w:val="2"/>
        </w:numPr>
        <w:spacing w:after="40" w:line="260"/>
      </w:pPr>
      <w:r>
        <w:rPr>
          <w:rFonts w:ascii="Arial" w:cs="Arial" w:eastAsia="Arial" w:hAnsi="Arial"/>
          <w:b/>
          <w:bCs/>
          <w:sz w:val="19"/>
          <w:szCs w:val="19"/>
        </w:rPr>
        <w:t xml:space="preserve">Korter (45 min): </w:t>
      </w:r>
      <w:r>
        <w:rPr>
          <w:rFonts w:ascii="Arial" w:cs="Arial" w:eastAsia="Arial" w:hAnsi="Arial"/>
          <w:sz w:val="19"/>
          <w:szCs w:val="19"/>
        </w:rPr>
        <w:t xml:space="preserve">sla stap 2 over en start bij de tegenargumenten.</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oefen in breakout rooms met camera aan.</w:t>
      </w:r>
    </w:p>
    <w:p>
      <w:pPr>
        <w:pStyle w:val="ListParagraph"/>
        <w:numPr>
          <w:ilvl w:val="0"/>
          <w:numId w:val="2"/>
        </w:numPr>
        <w:spacing w:after="40" w:line="260"/>
      </w:pPr>
      <w:r>
        <w:rPr>
          <w:rFonts w:ascii="Arial" w:cs="Arial" w:eastAsia="Arial" w:hAnsi="Arial"/>
          <w:b/>
          <w:bCs/>
          <w:sz w:val="19"/>
          <w:szCs w:val="19"/>
        </w:rPr>
        <w:t xml:space="preserve">Grote groep: </w:t>
      </w:r>
      <w:r>
        <w:rPr>
          <w:rFonts w:ascii="Arial" w:cs="Arial" w:eastAsia="Arial" w:hAnsi="Arial"/>
          <w:sz w:val="19"/>
          <w:szCs w:val="19"/>
        </w:rPr>
        <w:t xml:space="preserve">laat één tweetal het gesprek voor de klas spelen en analyseer met de klas.</w:t>
      </w:r>
    </w:p>
    <w:p>
      <w:pPr>
        <w:pStyle w:val="ListParagraph"/>
        <w:numPr>
          <w:ilvl w:val="0"/>
          <w:numId w:val="2"/>
        </w:numPr>
        <w:spacing w:after="40" w:line="260"/>
      </w:pPr>
      <w:r>
        <w:rPr>
          <w:rFonts w:ascii="Arial" w:cs="Arial" w:eastAsia="Arial" w:hAnsi="Arial"/>
          <w:b/>
          <w:bCs/>
          <w:sz w:val="19"/>
          <w:szCs w:val="19"/>
        </w:rPr>
        <w:t xml:space="preserve">HBO (deze versie): </w:t>
      </w:r>
      <w:r>
        <w:rPr>
          <w:rFonts w:ascii="Arial" w:cs="Arial" w:eastAsia="Arial" w:hAnsi="Arial"/>
          <w:sz w:val="19"/>
          <w:szCs w:val="19"/>
        </w:rPr>
        <w:t xml:space="preserve">minstens twee ethische perspectieven en een onderbouwde keuze. Voor MBO: B1-taal en één vraag per stap. Voor WO: theorieën expliciet benoemen en bekritiseren.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40" w:line="240"/>
        <w:ind w:left="360" w:hanging="360"/>
      </w:pPr>
      <w:r>
        <w:rPr>
          <w:rFonts w:ascii="Arial" w:cs="Arial" w:eastAsia="Arial" w:hAnsi="Arial"/>
          <w:color w:val="333333"/>
          <w:sz w:val="16"/>
          <w:szCs w:val="16"/>
        </w:rPr>
        <w:t xml:space="preserve">Creative Commons. (z.d.). About CC licenses. https://creativecommons.org/share-your-work/cclicenses/</w:t>
      </w:r>
    </w:p>
    <w:p>
      <w:pPr>
        <w:spacing w:after="40" w:line="240"/>
        <w:ind w:left="360" w:hanging="360"/>
      </w:pPr>
      <w:r>
        <w:rPr>
          <w:rFonts w:ascii="Arial" w:cs="Arial" w:eastAsia="Arial" w:hAnsi="Arial"/>
          <w:color w:val="333333"/>
          <w:sz w:val="16"/>
          <w:szCs w:val="16"/>
        </w:rPr>
        <w:t xml:space="preserve">Gentile, M. C. (2010). Giving voice to values: How to speak your mind when you know what’s right. Yale University Press.</w:t>
      </w:r>
    </w:p>
    <w:p>
      <w:pPr/>
      <w:r/>
      <w:r>
        <w:rPr>
          <w:i/>
        </w:rPr>
        <w:t>Meijer, K. M. T. (2023). Impossible and inevitable: Reconstructing the critique of business ethics [Proefschrift, Tilburg University]. Ridderprint. https://research.tilburguniversity.edu/en/publications/impossible-and-inevitable-reconstructing-the-critique-of-business/</w:t>
      </w:r>
    </w:p>
    <w:p>
      <w:pPr>
        <w:spacing w:after="0" w:before="40"/>
      </w:pPr>
      <w:r>
        <w:rPr>
          <w:rFonts w:ascii="Arial" w:cs="Arial" w:eastAsia="Arial" w:hAnsi="Arial"/>
          <w:i/>
          <w:iCs/>
          <w:color w:val="5F5E5A"/>
          <w:sz w:val="15"/>
          <w:szCs w:val="15"/>
        </w:rPr>
        <w:t xml:space="preserve">Complexiteit bepaald met de driedeling micro – meso – macro. De driedeling micro – meso – macro is een werkdefinitie van het Lectoraat Ethisch Werken (Fontys), geïnspireerd op het werk van Meijer (2023).</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waarden uitspreken en oefenen (Gentile, 2010).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DOCENTENVERSIE</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MW16 Docentenversie – Tien seconden</dc:title>
  <dc:creator>Moreel Vakmanschap</dc:creator>
  <cp:lastModifiedBy>Un-named</cp:lastModifiedBy>
  <cp:revision>1</cp:revision>
  <dcterms:created xsi:type="dcterms:W3CDTF">2026-09-29T09:58:37.741Z</dcterms:created>
  <dcterms:modified xsi:type="dcterms:W3CDTF">2026-09-29T09:58:37.741Z</dcterms:modified>
</cp:coreProperties>
</file>

<file path=docProps/custom.xml><?xml version="1.0" encoding="utf-8"?>
<Properties xmlns="http://schemas.openxmlformats.org/officeDocument/2006/custom-properties" xmlns:vt="http://schemas.openxmlformats.org/officeDocument/2006/docPropsVTypes"/>
</file>