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D4A24C" w:sz="24"/>
              <w:right w:val="none" w:color="FFFFFF" w:sz="0"/>
            </w:tcBorders>
            <w:shd w:fill="33363B"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MW18 — MORAL PRE-MORTEM · HRM</w:t>
            </w:r>
          </w:p>
          <w:p>
            <w:pPr>
              <w:spacing w:after="40" w:line="250"/>
            </w:pPr>
            <w:r>
              <w:rPr>
                <w:rFonts w:ascii="Arial" w:cs="Arial" w:eastAsia="Arial" w:hAnsi="Arial"/>
                <w:b/>
                <w:bCs/>
                <w:color w:val="FFFFFF"/>
                <w:sz w:val="34"/>
                <w:szCs w:val="34"/>
              </w:rPr>
              <w:t xml:space="preserve">Next year's headline</w:t>
            </w:r>
          </w:p>
          <w:p>
            <w:pPr>
              <w:spacing w:after="0"/>
            </w:pPr>
            <w:r>
              <w:rPr>
                <w:rFonts w:ascii="Arial" w:cs="Arial" w:eastAsia="Arial" w:hAnsi="Arial"/>
                <w:color w:val="DDE6F0"/>
                <w:sz w:val="19"/>
                <w:szCs w:val="19"/>
              </w:rPr>
              <w:t xml:space="preserve">Case: Vijverhof Residential Care Group</w:t>
            </w:r>
          </w:p>
        </w:tc>
        <w:tc>
          <w:tcPr>
            <w:tcW w:type="dxa" w:w="2606"/>
            <w:tcBorders>
              <w:top w:val="none" w:color="FFFFFF" w:sz="0"/>
              <w:left w:val="none" w:color="FFFFFF" w:sz="0"/>
              <w:bottom w:val="single" w:color="D4A24C"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b/>
          <w:bCs/>
          <w:color w:val="FFFFFF"/>
          <w:sz w:val="17"/>
          <w:szCs w:val="17"/>
          <w:shd w:fill="E2694B" w:color="auto" w:val="clear"/>
        </w:rPr>
        <w:t xml:space="preserve"> PERSISTING </w:t>
      </w:r>
      <w:r>
        <w:rPr>
          <w:rFonts w:ascii="Arial" w:cs="Arial" w:eastAsia="Arial" w:hAnsi="Arial"/>
          <w:sz w:val="17"/>
          <w:szCs w:val="17"/>
        </w:rPr>
        <w:t xml:space="preserve">  </w:t>
      </w:r>
      <w:r>
        <w:rPr>
          <w:rFonts w:ascii="Arial" w:cs="Arial" w:eastAsia="Arial" w:hAnsi="Arial"/>
          <w:color w:val="5F5E5A"/>
          <w:sz w:val="17"/>
          <w:szCs w:val="17"/>
        </w:rPr>
        <w:t xml:space="preserve">     Time: 40 min     Group: 3–6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4A24C" w:sz="6"/>
              <w:left w:val="single" w:color="D4A24C" w:sz="6"/>
              <w:bottom w:val="single" w:color="D4A24C" w:sz="6"/>
              <w:right w:val="single" w:color="D4A24C"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FEEEA"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Vijverhof Residential Care Group is introducing self-scheduling at all twelve locations. Staff choose their own shifts in an app. The idea comes from management: more freedom and less absenteeism. Monday is the kick-off meeting. Everyone is enthusiastic. There is cake and a video.</w:t>
            </w:r>
          </w:p>
          <w:p>
            <w:pPr>
              <w:spacing w:after="100" w:line="288"/>
            </w:pPr>
            <w:r>
              <w:rPr>
                <w:rFonts w:ascii="Arial" w:cs="Arial" w:eastAsia="Arial" w:hAnsi="Arial"/>
                <w:sz w:val="21"/>
                <w:szCs w:val="21"/>
              </w:rPr>
              <w:t xml:space="preserve">HR adviser Fenna Bosman feels a slight doubt. Who will end up choosing the night shifts and public holidays? What happens to colleagues who are less handy with the app, or who cannot easily swap because of their situation at home? Nobody asks about it. The project manager says: “We’ll solve problems when they arise.”</w:t>
            </w:r>
          </w:p>
          <w:p>
            <w:pPr>
              <w:spacing w:after="40" w:line="288"/>
            </w:pPr>
            <w:r>
              <w:rPr>
                <w:rFonts w:ascii="Arial" w:cs="Arial" w:eastAsia="Arial" w:hAnsi="Arial"/>
                <w:sz w:val="21"/>
                <w:szCs w:val="21"/>
              </w:rPr>
              <w:t xml:space="preserve">At the end, Fenna asks: “May I ask something odd? Suppose that a year from now the regional newspaper reads: Vijverhof care staff overloaded by new schedule. What went wrong?” There is a brief silence. Then someone starts to talk.</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In silence, think up next year’s headline. </w:t>
      </w:r>
      <w:r>
        <w:rPr>
          <w:rFonts w:ascii="Arial" w:cs="Arial" w:eastAsia="Arial" w:hAnsi="Arial"/>
          <w:i/>
          <w:iCs/>
          <w:color w:val="5F5E5A"/>
          <w:sz w:val="18"/>
          <w:szCs w:val="18"/>
        </w:rPr>
        <w:t xml:space="preserve">(3 min)</w:t>
      </w:r>
    </w:p>
    <w:p>
      <w:pPr>
        <w:pStyle w:val="ListParagraph"/>
        <w:numPr>
          <w:ilvl w:val="0"/>
          <w:numId w:val="2"/>
        </w:numPr>
        <w:spacing w:after="50" w:line="264"/>
      </w:pPr>
      <w:r>
        <w:rPr>
          <w:rFonts w:ascii="Arial" w:cs="Arial" w:eastAsia="Arial" w:hAnsi="Arial"/>
          <w:sz w:val="20"/>
          <w:szCs w:val="20"/>
        </w:rPr>
        <w:t xml:space="preserve">Write down three things that went wrong, each on its own line. </w:t>
      </w:r>
      <w:r>
        <w:rPr>
          <w:rFonts w:ascii="Arial" w:cs="Arial" w:eastAsia="Arial" w:hAnsi="Arial"/>
          <w:i/>
          <w:iCs/>
          <w:color w:val="5F5E5A"/>
          <w:sz w:val="18"/>
          <w:szCs w:val="18"/>
        </w:rPr>
        <w:t xml:space="preserve">(7 min)</w:t>
      </w:r>
    </w:p>
    <w:p>
      <w:pPr>
        <w:pStyle w:val="ListParagraph"/>
        <w:numPr>
          <w:ilvl w:val="0"/>
          <w:numId w:val="2"/>
        </w:numPr>
        <w:spacing w:after="50" w:line="264"/>
      </w:pPr>
      <w:r>
        <w:rPr>
          <w:rFonts w:ascii="Arial" w:cs="Arial" w:eastAsia="Arial" w:hAnsi="Arial"/>
          <w:sz w:val="20"/>
          <w:szCs w:val="20"/>
        </w:rPr>
        <w:t xml:space="preserve">Take turns to share. Note each cause in the table and ask who it affects.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Choose the three most serious causes. Come up with a measure, a person responsible and a moment. </w:t>
      </w:r>
      <w:r>
        <w:rPr>
          <w:rFonts w:ascii="Arial" w:cs="Arial" w:eastAsia="Arial" w:hAnsi="Arial"/>
          <w:i/>
          <w:iCs/>
          <w:color w:val="5F5E5A"/>
          <w:sz w:val="18"/>
          <w:szCs w:val="18"/>
        </w:rPr>
        <w:t xml:space="preserve">(12 min)</w:t>
      </w:r>
    </w:p>
    <w:p>
      <w:pPr>
        <w:pStyle w:val="ListParagraph"/>
        <w:numPr>
          <w:ilvl w:val="0"/>
          <w:numId w:val="2"/>
        </w:numPr>
        <w:spacing w:after="50" w:line="264"/>
      </w:pPr>
      <w:r>
        <w:rPr>
          <w:rFonts w:ascii="Arial" w:cs="Arial" w:eastAsia="Arial" w:hAnsi="Arial"/>
          <w:sz w:val="20"/>
          <w:szCs w:val="20"/>
        </w:rPr>
        <w:t xml:space="preserve">Choose one first step for tomorrow and one agreement to keep it up. </w:t>
      </w:r>
      <w:r>
        <w:rPr>
          <w:rFonts w:ascii="Arial" w:cs="Arial" w:eastAsia="Arial" w:hAnsi="Arial"/>
          <w:i/>
          <w:iCs/>
          <w:color w:val="5F5E5A"/>
          <w:sz w:val="18"/>
          <w:szCs w:val="18"/>
        </w:rPr>
        <w:t xml:space="preserve">(8 min)</w:t>
      </w:r>
    </w:p>
    <w:p>
      <w:pPr>
        <w:keepNext/>
        <w:pBdr>
          <w:bottom w:val="single" w:color="5B2D8E" w:sz="8" w:space="2"/>
        </w:pBdr>
        <w:spacing w:after="90" w:before="200"/>
      </w:pPr>
      <w:r>
        <w:rPr>
          <w:rFonts w:ascii="Arial" w:cs="Arial" w:eastAsia="Arial" w:hAnsi="Arial"/>
          <w:b/>
          <w:bCs/>
          <w:color w:val="5B2D8E"/>
          <w:spacing w:val="30"/>
          <w:sz w:val="20"/>
          <w:szCs w:val="20"/>
        </w:rPr>
        <w:t xml:space="preserve">STEP 1 — THE HEADLINE</w:t>
      </w:r>
    </w:p>
    <w:p>
      <w:pPr>
        <w:spacing w:after="0"/>
      </w:pPr>
      <w:r>
        <w:rPr>
          <w:rFonts w:ascii="Arial" w:cs="Arial" w:eastAsia="Arial" w:hAnsi="Arial"/>
          <w:b/>
          <w:bCs/>
          <w:sz w:val="20"/>
          <w:szCs w:val="20"/>
        </w:rPr>
        <w:t xml:space="preserve">A year from now the newspaper reads:</w:t>
      </w:r>
    </w:p>
    <w:p>
      <w:pPr>
        <w:pBdr>
          <w:bottom w:val="single" w:color="C9CED4" w:sz="4" w:space="1"/>
        </w:pBdr>
        <w:spacing w:after="0" w:before="0" w:line="34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STEPS 2 AND 3 — WHAT WENT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2200"/>
        <w:gridCol w:w="3206"/>
      </w:tblGrid>
      <w:tr>
        <w:trPr>
          <w:tblHeader/>
        </w:trPr>
        <w:tc>
          <w:tcPr>
            <w:tcW w:type="dxa" w:w="600"/>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3900"/>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Cause</w:t>
            </w:r>
          </w:p>
        </w:tc>
        <w:tc>
          <w:tcPr>
            <w:tcW w:type="dxa" w:w="2200"/>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Who does it affect?</w:t>
            </w:r>
          </w:p>
        </w:tc>
        <w:tc>
          <w:tcPr>
            <w:tcW w:type="dxa" w:w="3206"/>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Why didn’t we see it?</w:t>
            </w:r>
          </w:p>
        </w:tc>
      </w:tr>
      <w:tr>
        <w:trPr>
          <w:trHeight w:val="640" w:hRule="atLeast"/>
        </w:trPr>
        <w:tc>
          <w:tcPr>
            <w:tcW w:type="dxa" w:w="600"/>
            <w:tcBorders>
              <w:top w:val="single" w:color="BFC5CC" w:sz="4"/>
              <w:left w:val="single" w:color="BFC5CC" w:sz="4"/>
              <w:bottom w:val="single" w:color="BFC5CC" w:sz="4"/>
              <w:right w:val="single" w:color="BFC5CC" w:sz="4"/>
            </w:tcBorders>
            <w:shd w:fill="EFEEEA" w:color="auto" w:val="clear"/>
            <w:tcMar>
              <w:top w:type="dxa" w:w="80"/>
              <w:left w:type="dxa" w:w="110"/>
              <w:bottom w:type="dxa" w:w="80"/>
              <w:right w:type="dxa" w:w="110"/>
            </w:tcMar>
          </w:tcPr>
          <w:p>
            <w:pPr>
              <w:spacing w:after="20"/>
            </w:pPr>
            <w:r>
              <w:rPr>
                <w:rFonts w:ascii="Arial" w:cs="Arial" w:eastAsia="Arial" w:hAnsi="Arial"/>
                <w:b/>
                <w:bCs/>
                <w:color w:val="33363B"/>
                <w:sz w:val="19"/>
                <w:szCs w:val="19"/>
              </w:rPr>
              <w:t xml:space="preserve">1</w:t>
            </w:r>
          </w:p>
        </w:tc>
        <w:tc>
          <w:tcPr>
            <w:tcW w:type="dxa" w:w="3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2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40" w:hRule="atLeast"/>
        </w:trPr>
        <w:tc>
          <w:tcPr>
            <w:tcW w:type="dxa" w:w="600"/>
            <w:tcBorders>
              <w:top w:val="single" w:color="BFC5CC" w:sz="4"/>
              <w:left w:val="single" w:color="BFC5CC" w:sz="4"/>
              <w:bottom w:val="single" w:color="BFC5CC" w:sz="4"/>
              <w:right w:val="single" w:color="BFC5CC" w:sz="4"/>
            </w:tcBorders>
            <w:shd w:fill="EFEEEA" w:color="auto" w:val="clear"/>
            <w:tcMar>
              <w:top w:type="dxa" w:w="80"/>
              <w:left w:type="dxa" w:w="110"/>
              <w:bottom w:type="dxa" w:w="80"/>
              <w:right w:type="dxa" w:w="110"/>
            </w:tcMar>
          </w:tcPr>
          <w:p>
            <w:pPr>
              <w:spacing w:after="20"/>
            </w:pPr>
            <w:r>
              <w:rPr>
                <w:rFonts w:ascii="Arial" w:cs="Arial" w:eastAsia="Arial" w:hAnsi="Arial"/>
                <w:b/>
                <w:bCs/>
                <w:color w:val="33363B"/>
                <w:sz w:val="19"/>
                <w:szCs w:val="19"/>
              </w:rPr>
              <w:t xml:space="preserve">2</w:t>
            </w:r>
          </w:p>
        </w:tc>
        <w:tc>
          <w:tcPr>
            <w:tcW w:type="dxa" w:w="3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2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40" w:hRule="atLeast"/>
        </w:trPr>
        <w:tc>
          <w:tcPr>
            <w:tcW w:type="dxa" w:w="600"/>
            <w:tcBorders>
              <w:top w:val="single" w:color="BFC5CC" w:sz="4"/>
              <w:left w:val="single" w:color="BFC5CC" w:sz="4"/>
              <w:bottom w:val="single" w:color="BFC5CC" w:sz="4"/>
              <w:right w:val="single" w:color="BFC5CC" w:sz="4"/>
            </w:tcBorders>
            <w:shd w:fill="EFEEEA" w:color="auto" w:val="clear"/>
            <w:tcMar>
              <w:top w:type="dxa" w:w="80"/>
              <w:left w:type="dxa" w:w="110"/>
              <w:bottom w:type="dxa" w:w="80"/>
              <w:right w:type="dxa" w:w="110"/>
            </w:tcMar>
          </w:tcPr>
          <w:p>
            <w:pPr>
              <w:spacing w:after="20"/>
            </w:pPr>
            <w:r>
              <w:rPr>
                <w:rFonts w:ascii="Arial" w:cs="Arial" w:eastAsia="Arial" w:hAnsi="Arial"/>
                <w:b/>
                <w:bCs/>
                <w:color w:val="33363B"/>
                <w:sz w:val="19"/>
                <w:szCs w:val="19"/>
              </w:rPr>
              <w:t xml:space="preserve">3</w:t>
            </w:r>
          </w:p>
        </w:tc>
        <w:tc>
          <w:tcPr>
            <w:tcW w:type="dxa" w:w="3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2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4 — MEASURES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2300"/>
        <w:gridCol w:w="2006"/>
      </w:tblGrid>
      <w:tr>
        <w:trPr>
          <w:tblHeader/>
        </w:trPr>
        <w:tc>
          <w:tcPr>
            <w:tcW w:type="dxa" w:w="600"/>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5000"/>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Measure</w:t>
            </w:r>
          </w:p>
        </w:tc>
        <w:tc>
          <w:tcPr>
            <w:tcW w:type="dxa" w:w="2300"/>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Who?</w:t>
            </w:r>
          </w:p>
        </w:tc>
        <w:tc>
          <w:tcPr>
            <w:tcW w:type="dxa" w:w="2006"/>
            <w:tcBorders>
              <w:top w:val="single" w:color="BFC5CC" w:sz="4"/>
              <w:left w:val="single" w:color="BFC5CC" w:sz="4"/>
              <w:bottom w:val="single" w:color="BFC5CC" w:sz="4"/>
              <w:right w:val="single" w:color="BFC5CC" w:sz="4"/>
            </w:tcBorders>
            <w:shd w:fill="3336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When?</w:t>
            </w:r>
          </w:p>
        </w:tc>
      </w:tr>
      <w:tr>
        <w:trPr>
          <w:trHeight w:val="640" w:hRule="atLeast"/>
        </w:trPr>
        <w:tc>
          <w:tcPr>
            <w:tcW w:type="dxa" w:w="600"/>
            <w:tcBorders>
              <w:top w:val="single" w:color="BFC5CC" w:sz="4"/>
              <w:left w:val="single" w:color="BFC5CC" w:sz="4"/>
              <w:bottom w:val="single" w:color="BFC5CC" w:sz="4"/>
              <w:right w:val="single" w:color="BFC5CC" w:sz="4"/>
            </w:tcBorders>
            <w:shd w:fill="EFEEEA" w:color="auto" w:val="clear"/>
            <w:tcMar>
              <w:top w:type="dxa" w:w="80"/>
              <w:left w:type="dxa" w:w="110"/>
              <w:bottom w:type="dxa" w:w="80"/>
              <w:right w:type="dxa" w:w="110"/>
            </w:tcMar>
          </w:tcPr>
          <w:p>
            <w:pPr>
              <w:spacing w:after="20"/>
            </w:pPr>
            <w:r>
              <w:rPr>
                <w:rFonts w:ascii="Arial" w:cs="Arial" w:eastAsia="Arial" w:hAnsi="Arial"/>
                <w:b/>
                <w:bCs/>
                <w:color w:val="33363B"/>
                <w:sz w:val="19"/>
                <w:szCs w:val="19"/>
              </w:rPr>
              <w:t xml:space="preserve">1</w:t>
            </w:r>
          </w:p>
        </w:tc>
        <w:tc>
          <w:tcPr>
            <w:tcW w:type="dxa" w:w="5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40" w:hRule="atLeast"/>
        </w:trPr>
        <w:tc>
          <w:tcPr>
            <w:tcW w:type="dxa" w:w="600"/>
            <w:tcBorders>
              <w:top w:val="single" w:color="BFC5CC" w:sz="4"/>
              <w:left w:val="single" w:color="BFC5CC" w:sz="4"/>
              <w:bottom w:val="single" w:color="BFC5CC" w:sz="4"/>
              <w:right w:val="single" w:color="BFC5CC" w:sz="4"/>
            </w:tcBorders>
            <w:shd w:fill="EFEEEA" w:color="auto" w:val="clear"/>
            <w:tcMar>
              <w:top w:type="dxa" w:w="80"/>
              <w:left w:type="dxa" w:w="110"/>
              <w:bottom w:type="dxa" w:w="80"/>
              <w:right w:type="dxa" w:w="110"/>
            </w:tcMar>
          </w:tcPr>
          <w:p>
            <w:pPr>
              <w:spacing w:after="20"/>
            </w:pPr>
            <w:r>
              <w:rPr>
                <w:rFonts w:ascii="Arial" w:cs="Arial" w:eastAsia="Arial" w:hAnsi="Arial"/>
                <w:b/>
                <w:bCs/>
                <w:color w:val="33363B"/>
                <w:sz w:val="19"/>
                <w:szCs w:val="19"/>
              </w:rPr>
              <w:t xml:space="preserve">2</w:t>
            </w:r>
          </w:p>
        </w:tc>
        <w:tc>
          <w:tcPr>
            <w:tcW w:type="dxa" w:w="5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40" w:hRule="atLeast"/>
        </w:trPr>
        <w:tc>
          <w:tcPr>
            <w:tcW w:type="dxa" w:w="600"/>
            <w:tcBorders>
              <w:top w:val="single" w:color="BFC5CC" w:sz="4"/>
              <w:left w:val="single" w:color="BFC5CC" w:sz="4"/>
              <w:bottom w:val="single" w:color="BFC5CC" w:sz="4"/>
              <w:right w:val="single" w:color="BFC5CC" w:sz="4"/>
            </w:tcBorders>
            <w:shd w:fill="EFEEEA" w:color="auto" w:val="clear"/>
            <w:tcMar>
              <w:top w:type="dxa" w:w="80"/>
              <w:left w:type="dxa" w:w="110"/>
              <w:bottom w:type="dxa" w:w="80"/>
              <w:right w:type="dxa" w:w="110"/>
            </w:tcMar>
          </w:tcPr>
          <w:p>
            <w:pPr>
              <w:spacing w:after="20"/>
            </w:pPr>
            <w:r>
              <w:rPr>
                <w:rFonts w:ascii="Arial" w:cs="Arial" w:eastAsia="Arial" w:hAnsi="Arial"/>
                <w:b/>
                <w:bCs/>
                <w:color w:val="33363B"/>
                <w:sz w:val="19"/>
                <w:szCs w:val="19"/>
              </w:rPr>
              <w:t xml:space="preserve">3</w:t>
            </w:r>
          </w:p>
        </w:tc>
        <w:tc>
          <w:tcPr>
            <w:tcW w:type="dxa" w:w="5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5 — MY FIRST STEP</w:t>
      </w:r>
    </w:p>
    <w:p>
      <w:pPr>
        <w:spacing w:after="0"/>
      </w:pPr>
      <w:r>
        <w:rPr>
          <w:rFonts w:ascii="Arial" w:cs="Arial" w:eastAsia="Arial" w:hAnsi="Arial"/>
          <w:b/>
          <w:bCs/>
          <w:sz w:val="20"/>
          <w:szCs w:val="20"/>
        </w:rPr>
        <w:t xml:space="preserve">Tomorrow I will:</w:t>
      </w:r>
    </w:p>
    <w:p>
      <w:pPr>
        <w:pBdr>
          <w:bottom w:val="single" w:color="C9CED4" w:sz="4" w:space="1"/>
        </w:pBdr>
        <w:spacing w:after="0" w:before="0" w:line="34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Which measure will you carry out yourself? What exactly will you say, and to whom?</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2694B" w:color="auto" w:val="clear"/>
        </w:rPr>
        <w:t xml:space="preserve"> PERSISTING </w:t>
      </w:r>
      <w:r>
        <w:rPr>
          <w:rFonts w:ascii="Arial" w:cs="Arial" w:eastAsia="Arial" w:hAnsi="Arial"/>
          <w:sz w:val="20"/>
          <w:szCs w:val="20"/>
        </w:rPr>
        <w:t xml:space="preserve">  What makes it hard to keep this up when things get busy? What helps you?</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moral pre-mortem (Klein, 2007).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185f0d858fe80cdc3a8fb1ddf887fd0295740c.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MW18 Next year's headline (Higher education HRM, EN, student version)</dc:title>
  <dc:creator>Moreel Vakmanschap</dc:creator>
  <cp:lastModifiedBy>Moral Craftsmanship</cp:lastModifiedBy>
  <cp:revision>1</cp:revision>
  <dcterms:created xsi:type="dcterms:W3CDTF">2026-09-29T10:04:58.382Z</dcterms:created>
  <dcterms:modified xsi:type="dcterms:W3CDTF">2026-09-29T10:04:58.382Z</dcterms:modified>
  <dc:language>en-GB</dc:language>
</cp:coreProperties>
</file>

<file path=docProps/custom.xml><?xml version="1.0" encoding="utf-8"?>
<Properties xmlns="http://schemas.openxmlformats.org/officeDocument/2006/custom-properties" xmlns:vt="http://schemas.openxmlformats.org/officeDocument/2006/docPropsVTypes"/>
</file>