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24C" w:sz="24"/>
              <w:right w:val="none" w:color="FFFFFF" w:sz="0"/>
            </w:tcBorders>
            <w:shd w:fill="33363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Next year's headline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24C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 moral risks of a project in advance.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devise a concrete precaution for each risk, with a person responsible and a moment.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what is needed to keep an agreement under pressure. (Persisting)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her concerns against management’s enthusiasm and the expectations of teams within an organisation-wide project.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organisation prepares and adjusts the project.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twelve locations, management, project manager and teams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employment law is in the background, but is not the core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optionally sticky notes, timer. Groups of 3–6. Allow 40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make sure students write in silence first. That prevents the first speaker from setting the direction.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Atmosphere: </w:t>
      </w:r>
      <w:r>
        <w:rPr>
          <w:rFonts w:ascii="Arial" w:cs="Arial" w:eastAsia="Arial" w:hAnsi="Arial"/>
          <w:sz w:val="19"/>
          <w:szCs w:val="19"/>
        </w:rPr>
        <w:t xml:space="preserve">in a pre-mortem, criticism is a contribution, not obstruction. Say so beforehand.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name practical problems (the app crashes). Ask about moral risks: who loses out here, and who doesn’t notice?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measures remain vague (“communicate better”). Ask about who, what and when.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It stays at the plan. For Persisting, have students name what goes wrong under pressure.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CAUSES TO PROBE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336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336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from the case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Fairness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Night shifts and public holidays are distributed unequally; strong negotiators win.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Vulnerable groups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Colleagues with caring responsibilities at home or few digital skills have less choice.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Voice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Teams with criticism do not dare to express it.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Ownership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Nobody is responsible for resolving conflicts in the schedule.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(30 min): </w:t>
      </w:r>
      <w:r>
        <w:rPr>
          <w:rFonts w:ascii="Arial" w:cs="Arial" w:eastAsia="Arial" w:hAnsi="Arial"/>
          <w:sz w:val="19"/>
          <w:szCs w:val="19"/>
        </w:rPr>
        <w:t xml:space="preserve">skip step 5 and discuss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digital sticky notes.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share their headline in plenary and vote on the most realistic 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Klein, G. (2007). Performing a project premortem. Harvard Business Review, 85(9), 18–19.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moral pre-mortem (Klein, 2007).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MW18 Next year's headline (Higher education HRM, EN, teacher version)</dc:title>
  <dc:creator>Moreel Vakmanschap</dc:creator>
  <cp:lastModifiedBy>Moral Craftsmanship</cp:lastModifiedBy>
  <cp:revision>1</cp:revision>
  <dcterms:created xsi:type="dcterms:W3CDTF">2026-09-29T09:58:37.502Z</dcterms:created>
  <dcterms:modified xsi:type="dcterms:W3CDTF">2026-09-29T09:58:37.502Z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