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E9A23B" w:sz="24"/>
              <w:right w:val="none" w:color="FFFFFF" w:sz="0"/>
            </w:tcBorders>
            <w:shd w:fill="7D6B2F"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ASSIGNMENT MW19 — GANDHI’S TALISMAN · HRM</w:t>
            </w:r>
          </w:p>
          <w:p>
            <w:pPr>
              <w:spacing w:after="40" w:line="250"/>
            </w:pPr>
            <w:r>
              <w:rPr>
                <w:rFonts w:ascii="Arial" w:cs="Arial" w:eastAsia="Arial" w:hAnsi="Arial"/>
                <w:b/>
                <w:bCs/>
                <w:color w:val="FFFFFF"/>
                <w:sz w:val="34"/>
                <w:szCs w:val="34"/>
              </w:rPr>
              <w:t xml:space="preserve">The email to Rosa</w:t>
            </w:r>
          </w:p>
          <w:p>
            <w:pPr>
              <w:spacing w:after="0"/>
            </w:pPr>
            <w:r>
              <w:rPr>
                <w:rFonts w:ascii="Arial" w:cs="Arial" w:eastAsia="Arial" w:hAnsi="Arial"/>
                <w:color w:val="DDE6F0"/>
                <w:sz w:val="19"/>
                <w:szCs w:val="19"/>
              </w:rPr>
              <w:t xml:space="preserve">Case: an HR assistant and a new arrangement</w:t>
            </w:r>
          </w:p>
        </w:tc>
        <w:tc>
          <w:tcPr>
            <w:tcW w:type="dxa" w:w="2606"/>
            <w:tcBorders>
              <w:top w:val="none" w:color="FFFFFF" w:sz="0"/>
              <w:left w:val="none" w:color="FFFFFF" w:sz="0"/>
              <w:bottom w:val="single" w:color="E9A23B"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COMPLEXITY</w:t>
            </w:r>
          </w:p>
          <w:p>
            <w:pPr>
              <w:spacing w:after="0"/>
              <w:jc w:val="center"/>
            </w:pPr>
            <w:r>
              <w:rPr>
                <w:rFonts w:ascii="Arial" w:cs="Arial" w:eastAsia="Arial" w:hAnsi="Arial"/>
                <w:b/>
                <w:bCs/>
                <w:color w:val="FFFFFF"/>
                <w:sz w:val="26"/>
                <w:szCs w:val="26"/>
              </w:rPr>
              <w:t xml:space="preserve">MICRO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2F7FC1" w:color="auto" w:val="clear"/>
        </w:rPr>
        <w:t xml:space="preserve"> SEEING </w:t>
      </w:r>
      <w:r>
        <w:rPr>
          <w:rFonts w:ascii="Arial" w:cs="Arial" w:eastAsia="Arial" w:hAnsi="Arial"/>
          <w:sz w:val="17"/>
          <w:szCs w:val="17"/>
        </w:rPr>
        <w:t xml:space="preserve">  </w:t>
      </w:r>
      <w:r>
        <w:rPr>
          <w:rFonts w:ascii="Arial" w:cs="Arial" w:eastAsia="Arial" w:hAnsi="Arial"/>
          <w:b/>
          <w:bCs/>
          <w:color w:val="FFFFFF"/>
          <w:sz w:val="17"/>
          <w:szCs w:val="17"/>
          <w:shd w:fill="1D9E75" w:color="auto" w:val="clear"/>
        </w:rPr>
        <w:t xml:space="preserve"> ACTING </w:t>
      </w:r>
      <w:r>
        <w:rPr>
          <w:rFonts w:ascii="Arial" w:cs="Arial" w:eastAsia="Arial" w:hAnsi="Arial"/>
          <w:sz w:val="17"/>
          <w:szCs w:val="17"/>
        </w:rPr>
        <w:t xml:space="preserve">  </w:t>
      </w:r>
      <w:r>
        <w:rPr>
          <w:rFonts w:ascii="Arial" w:cs="Arial" w:eastAsia="Arial" w:hAnsi="Arial"/>
          <w:color w:val="5F5E5A"/>
          <w:sz w:val="17"/>
          <w:szCs w:val="17"/>
        </w:rPr>
        <w:t xml:space="preserve">     Time: 20 min     Group: Individual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E9A23B" w:sz="6"/>
              <w:left w:val="single" w:color="E9A23B" w:sz="6"/>
              <w:bottom w:val="single" w:color="E9A23B" w:sz="6"/>
              <w:right w:val="single" w:color="E9A23B"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F4F0E1"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Sanne (24) is an HR assistant at a medium-sized company. Her manager asks her to send an email today about the new cleaning arrangement: from next month, the cleaners will come through a temporary employment agency, with different hours.</w:t>
            </w:r>
          </w:p>
          <w:p>
            <w:pPr>
              <w:spacing w:after="100" w:line="288"/>
            </w:pPr>
            <w:r>
              <w:rPr>
                <w:rFonts w:ascii="Arial" w:cs="Arial" w:eastAsia="Arial" w:hAnsi="Arial"/>
                <w:sz w:val="21"/>
                <w:szCs w:val="21"/>
              </w:rPr>
              <w:t xml:space="preserve">Sanne knows that because of this Rosa (58) will lose her fixed hours. Rosa has a limited command of the local language and does not read long emails quickly. The arrangement has already been decided and Sanne cannot change it. But she can decide how she writes the email, and whether she also informs Rosa in person.</w:t>
            </w:r>
          </w:p>
          <w:p>
            <w:pPr>
              <w:spacing w:after="40" w:line="288"/>
            </w:pPr>
            <w:r>
              <w:rPr>
                <w:rFonts w:ascii="Arial" w:cs="Arial" w:eastAsia="Arial" w:hAnsi="Arial"/>
                <w:sz w:val="21"/>
                <w:szCs w:val="21"/>
              </w:rPr>
              <w:t xml:space="preserve">Sanne hesitates. She thinks of the talisman: think of the most vulnerable person you know and ask yourself whether your step will be of any use to that person.</w:t>
            </w:r>
          </w:p>
        </w:tc>
      </w:tr>
    </w:tbl>
    <w:p>
      <w:pPr>
        <w:spacing w:after="0" w:before="60"/>
      </w:pPr>
      <w:r>
        <w:rPr>
          <w:rFonts w:ascii="Arial" w:cs="Arial" w:eastAsia="Arial" w:hAnsi="Arial"/>
          <w:i/>
          <w:iCs/>
          <w:color w:val="5F5E5A"/>
          <w:sz w:val="15"/>
          <w:szCs w:val="15"/>
        </w:rPr>
        <w:t xml:space="preserve">Fictional case. Any resemblance to real persons or organisations is coincidental.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HOW TO WORK</w:t>
      </w:r>
    </w:p>
    <w:p>
      <w:pPr>
        <w:pStyle w:val="ListParagraph"/>
        <w:numPr>
          <w:ilvl w:val="0"/>
          <w:numId w:val="2"/>
        </w:numPr>
        <w:spacing w:after="50" w:line="264"/>
      </w:pPr>
      <w:r>
        <w:rPr>
          <w:rFonts w:ascii="Arial" w:cs="Arial" w:eastAsia="Arial" w:hAnsi="Arial"/>
          <w:sz w:val="20"/>
          <w:szCs w:val="20"/>
        </w:rPr>
        <w:t xml:space="preserve">Read the case and name the most vulnerable person in this story. </w:t>
      </w:r>
      <w:r>
        <w:rPr>
          <w:rFonts w:ascii="Arial" w:cs="Arial" w:eastAsia="Arial" w:hAnsi="Arial"/>
          <w:i/>
          <w:iCs/>
          <w:color w:val="5F5E5A"/>
          <w:sz w:val="18"/>
          <w:szCs w:val="18"/>
        </w:rPr>
        <w:t xml:space="preserve">(3 min)</w:t>
      </w:r>
    </w:p>
    <w:p>
      <w:pPr>
        <w:pStyle w:val="ListParagraph"/>
        <w:numPr>
          <w:ilvl w:val="0"/>
          <w:numId w:val="2"/>
        </w:numPr>
        <w:spacing w:after="50" w:line="264"/>
      </w:pPr>
      <w:r>
        <w:rPr>
          <w:rFonts w:ascii="Arial" w:cs="Arial" w:eastAsia="Arial" w:hAnsi="Arial"/>
          <w:sz w:val="20"/>
          <w:szCs w:val="20"/>
        </w:rPr>
        <w:t xml:space="preserve">Look at three of Sanne’s options and ask the talisman question for each option. </w:t>
      </w:r>
      <w:r>
        <w:rPr>
          <w:rFonts w:ascii="Arial" w:cs="Arial" w:eastAsia="Arial" w:hAnsi="Arial"/>
          <w:i/>
          <w:iCs/>
          <w:color w:val="5F5E5A"/>
          <w:sz w:val="18"/>
          <w:szCs w:val="18"/>
        </w:rPr>
        <w:t xml:space="preserve">(7 min)</w:t>
      </w:r>
    </w:p>
    <w:p>
      <w:pPr>
        <w:pStyle w:val="ListParagraph"/>
        <w:numPr>
          <w:ilvl w:val="0"/>
          <w:numId w:val="2"/>
        </w:numPr>
        <w:spacing w:after="50" w:line="264"/>
      </w:pPr>
      <w:r>
        <w:rPr>
          <w:rFonts w:ascii="Arial" w:cs="Arial" w:eastAsia="Arial" w:hAnsi="Arial"/>
          <w:sz w:val="20"/>
          <w:szCs w:val="20"/>
        </w:rPr>
        <w:t xml:space="preserve">Choose an option yourself or come up with a fourth, and write down why.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Fill in your reflection. </w:t>
      </w:r>
      <w:r>
        <w:rPr>
          <w:rFonts w:ascii="Arial" w:cs="Arial" w:eastAsia="Arial" w:hAnsi="Arial"/>
          <w:i/>
          <w:iCs/>
          <w:color w:val="5F5E5A"/>
          <w:sz w:val="18"/>
          <w:szCs w:val="18"/>
        </w:rPr>
        <w:t xml:space="preserve">(5 min)</w:t>
      </w:r>
    </w:p>
    <w:p>
      <w:pPr>
        <w:keepNext/>
        <w:pBdr>
          <w:bottom w:val="single" w:color="5B2D8E" w:sz="8" w:space="2"/>
        </w:pBdr>
        <w:spacing w:after="90" w:before="200"/>
      </w:pPr>
      <w:r>
        <w:rPr>
          <w:rFonts w:ascii="Arial" w:cs="Arial" w:eastAsia="Arial" w:hAnsi="Arial"/>
          <w:b/>
          <w:bCs/>
          <w:color w:val="5B2D8E"/>
          <w:spacing w:val="30"/>
          <w:sz w:val="20"/>
          <w:szCs w:val="20"/>
        </w:rPr>
        <w:t xml:space="preserve">THE MOST VULNERABLE PERSON</w:t>
      </w:r>
    </w:p>
    <w:p>
      <w:pPr>
        <w:spacing w:after="0"/>
      </w:pPr>
      <w:r>
        <w:rPr>
          <w:rFonts w:ascii="Arial" w:cs="Arial" w:eastAsia="Arial" w:hAnsi="Arial"/>
          <w:b/>
          <w:bCs/>
          <w:sz w:val="20"/>
          <w:szCs w:val="20"/>
        </w:rPr>
        <w:t xml:space="preserve">Who is that in your view, and what does that person need?</w:t>
      </w:r>
    </w:p>
    <w:p>
      <w:pPr>
        <w:pBdr>
          <w:bottom w:val="single" w:color="C9CED4" w:sz="4" w:space="1"/>
        </w:pBdr>
        <w:spacing w:after="0" w:before="0" w:line="330" w:lineRule="exact"/>
        <w:ind w:right="0"/>
      </w:pPr>
      <w:r>
        <w:rPr>
          <w:rFonts w:ascii="Arial" w:cs="Arial" w:eastAsia="Arial" w:hAnsi="Arial"/>
          <w:sz w:val="21"/>
          <w:szCs w:val="21"/>
        </w:rPr>
        <w:t xml:space="preserve"/>
      </w:r>
    </w:p>
    <w:p>
      <w:pPr>
        <w:pBdr>
          <w:bottom w:val="single" w:color="C9CED4" w:sz="4" w:space="1"/>
        </w:pBdr>
        <w:spacing w:after="0" w:before="0" w:line="330" w:lineRule="exact"/>
        <w:ind w:right="2"/>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THE TALISMAN QUESTION PER OPTION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0"/>
        <w:gridCol w:w="3500"/>
        <w:gridCol w:w="3006"/>
      </w:tblGrid>
      <w:tr>
        <w:trPr>
          <w:tblHeader/>
        </w:trPr>
        <w:tc>
          <w:tcPr>
            <w:tcW w:type="dxa" w:w="3400"/>
            <w:tcBorders>
              <w:top w:val="single" w:color="BFC5CC" w:sz="4"/>
              <w:left w:val="single" w:color="BFC5CC" w:sz="4"/>
              <w:bottom w:val="single" w:color="BFC5CC" w:sz="4"/>
              <w:right w:val="single" w:color="BFC5CC" w:sz="4"/>
            </w:tcBorders>
            <w:shd w:fill="7D6B2F"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Sanne’s option</w:t>
            </w:r>
          </w:p>
        </w:tc>
        <w:tc>
          <w:tcPr>
            <w:tcW w:type="dxa" w:w="3500"/>
            <w:tcBorders>
              <w:top w:val="single" w:color="BFC5CC" w:sz="4"/>
              <w:left w:val="single" w:color="BFC5CC" w:sz="4"/>
              <w:bottom w:val="single" w:color="BFC5CC" w:sz="4"/>
              <w:right w:val="single" w:color="BFC5CC" w:sz="4"/>
            </w:tcBorders>
            <w:shd w:fill="7D6B2F"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What does it give Rosa?</w:t>
            </w:r>
          </w:p>
        </w:tc>
        <w:tc>
          <w:tcPr>
            <w:tcW w:type="dxa" w:w="3006"/>
            <w:tcBorders>
              <w:top w:val="single" w:color="BFC5CC" w:sz="4"/>
              <w:left w:val="single" w:color="BFC5CC" w:sz="4"/>
              <w:bottom w:val="single" w:color="BFC5CC" w:sz="4"/>
              <w:right w:val="single" w:color="BFC5CC" w:sz="4"/>
            </w:tcBorders>
            <w:shd w:fill="7D6B2F"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What does it cost Sanne?</w:t>
            </w:r>
          </w:p>
        </w:tc>
      </w:tr>
      <w:tr>
        <w:trPr>
          <w:trHeight w:val="620" w:hRule="atLeast"/>
        </w:trPr>
        <w:tc>
          <w:tcPr>
            <w:tcW w:type="dxa" w:w="3400"/>
            <w:tcBorders>
              <w:top w:val="single" w:color="BFC5CC" w:sz="4"/>
              <w:left w:val="single" w:color="BFC5CC" w:sz="4"/>
              <w:bottom w:val="single" w:color="BFC5CC" w:sz="4"/>
              <w:right w:val="single" w:color="BFC5CC" w:sz="4"/>
            </w:tcBorders>
            <w:shd w:fill="F4F0E1" w:color="auto" w:val="clear"/>
            <w:tcMar>
              <w:top w:type="dxa" w:w="80"/>
              <w:left w:type="dxa" w:w="110"/>
              <w:bottom w:type="dxa" w:w="80"/>
              <w:right w:type="dxa" w:w="110"/>
            </w:tcMar>
          </w:tcPr>
          <w:p>
            <w:pPr>
              <w:spacing w:after="20"/>
            </w:pPr>
            <w:r>
              <w:rPr>
                <w:rFonts w:ascii="Arial" w:cs="Arial" w:eastAsia="Arial" w:hAnsi="Arial"/>
                <w:b/>
                <w:bCs/>
                <w:color w:val="7D6B2F"/>
                <w:sz w:val="19"/>
                <w:szCs w:val="19"/>
              </w:rPr>
              <w:t xml:space="preserve">A. Send the email as requested</w:t>
            </w:r>
          </w:p>
        </w:tc>
        <w:tc>
          <w:tcPr>
            <w:tcW w:type="dxa" w:w="3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0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620" w:hRule="atLeast"/>
        </w:trPr>
        <w:tc>
          <w:tcPr>
            <w:tcW w:type="dxa" w:w="3400"/>
            <w:tcBorders>
              <w:top w:val="single" w:color="BFC5CC" w:sz="4"/>
              <w:left w:val="single" w:color="BFC5CC" w:sz="4"/>
              <w:bottom w:val="single" w:color="BFC5CC" w:sz="4"/>
              <w:right w:val="single" w:color="BFC5CC" w:sz="4"/>
            </w:tcBorders>
            <w:shd w:fill="F4F0E1" w:color="auto" w:val="clear"/>
            <w:tcMar>
              <w:top w:type="dxa" w:w="80"/>
              <w:left w:type="dxa" w:w="110"/>
              <w:bottom w:type="dxa" w:w="80"/>
              <w:right w:type="dxa" w:w="110"/>
            </w:tcMar>
          </w:tcPr>
          <w:p>
            <w:pPr>
              <w:spacing w:after="20"/>
            </w:pPr>
            <w:r>
              <w:rPr>
                <w:rFonts w:ascii="Arial" w:cs="Arial" w:eastAsia="Arial" w:hAnsi="Arial"/>
                <w:b/>
                <w:bCs/>
                <w:color w:val="7D6B2F"/>
                <w:sz w:val="19"/>
                <w:szCs w:val="19"/>
              </w:rPr>
              <w:t xml:space="preserve">B. Send the email and inform Rosa in person</w:t>
            </w:r>
          </w:p>
        </w:tc>
        <w:tc>
          <w:tcPr>
            <w:tcW w:type="dxa" w:w="3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0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620" w:hRule="atLeast"/>
        </w:trPr>
        <w:tc>
          <w:tcPr>
            <w:tcW w:type="dxa" w:w="3400"/>
            <w:tcBorders>
              <w:top w:val="single" w:color="BFC5CC" w:sz="4"/>
              <w:left w:val="single" w:color="BFC5CC" w:sz="4"/>
              <w:bottom w:val="single" w:color="BFC5CC" w:sz="4"/>
              <w:right w:val="single" w:color="BFC5CC" w:sz="4"/>
            </w:tcBorders>
            <w:shd w:fill="F4F0E1" w:color="auto" w:val="clear"/>
            <w:tcMar>
              <w:top w:type="dxa" w:w="80"/>
              <w:left w:type="dxa" w:w="110"/>
              <w:bottom w:type="dxa" w:w="80"/>
              <w:right w:type="dxa" w:w="110"/>
            </w:tcMar>
          </w:tcPr>
          <w:p>
            <w:pPr>
              <w:spacing w:after="20"/>
            </w:pPr>
            <w:r>
              <w:rPr>
                <w:rFonts w:ascii="Arial" w:cs="Arial" w:eastAsia="Arial" w:hAnsi="Arial"/>
                <w:b/>
                <w:bCs/>
                <w:color w:val="7D6B2F"/>
                <w:sz w:val="19"/>
                <w:szCs w:val="19"/>
              </w:rPr>
              <w:t xml:space="preserve">C. Ask the manager for a shorter, clear text</w:t>
            </w:r>
          </w:p>
        </w:tc>
        <w:tc>
          <w:tcPr>
            <w:tcW w:type="dxa" w:w="3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0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MY CHOICE</w:t>
      </w:r>
    </w:p>
    <w:p>
      <w:pPr>
        <w:spacing w:after="0"/>
      </w:pPr>
      <w:r>
        <w:rPr>
          <w:rFonts w:ascii="Arial" w:cs="Arial" w:eastAsia="Arial" w:hAnsi="Arial"/>
          <w:b/>
          <w:bCs/>
          <w:sz w:val="20"/>
          <w:szCs w:val="20"/>
        </w:rPr>
        <w:t xml:space="preserve">I choose… because…</w:t>
      </w:r>
    </w:p>
    <w:p>
      <w:pPr>
        <w:pBdr>
          <w:bottom w:val="single" w:color="C9CED4" w:sz="4" w:space="1"/>
        </w:pBdr>
        <w:spacing w:after="0" w:before="0" w:line="330" w:lineRule="exact"/>
        <w:ind w:right="0"/>
      </w:pPr>
      <w:r>
        <w:rPr>
          <w:rFonts w:ascii="Arial" w:cs="Arial" w:eastAsia="Arial" w:hAnsi="Arial"/>
          <w:sz w:val="21"/>
          <w:szCs w:val="21"/>
        </w:rPr>
        <w:t xml:space="preserve"/>
      </w:r>
    </w:p>
    <w:p>
      <w:pPr>
        <w:pBdr>
          <w:bottom w:val="single" w:color="C9CED4" w:sz="4" w:space="1"/>
        </w:pBdr>
        <w:spacing w:after="0" w:before="0" w:line="330" w:lineRule="exact"/>
        <w:ind w:right="2"/>
      </w:pPr>
      <w:r>
        <w:rPr>
          <w:rFonts w:ascii="Arial" w:cs="Arial" w:eastAsia="Arial" w:hAnsi="Arial"/>
          <w:sz w:val="21"/>
          <w:szCs w:val="21"/>
        </w:rPr>
        <w:t xml:space="preserve"/>
      </w:r>
    </w:p>
    <w:p>
      <w:pPr>
        <w:pBdr>
          <w:bottom w:val="single" w:color="C9CED4" w:sz="4" w:space="1"/>
        </w:pBdr>
        <w:spacing w:after="0" w:before="0" w:line="330" w:lineRule="exact"/>
        <w:ind w:right="4"/>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2F7FC1" w:color="auto" w:val="clear"/>
        </w:rPr>
        <w:t xml:space="preserve"> SEEING </w:t>
      </w:r>
      <w:r>
        <w:rPr>
          <w:rFonts w:ascii="Arial" w:cs="Arial" w:eastAsia="Arial" w:hAnsi="Arial"/>
          <w:sz w:val="20"/>
          <w:szCs w:val="20"/>
        </w:rPr>
        <w:t xml:space="preserve">  Which person did you not see at first, and what changed when you thought of that person?</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1D9E75" w:color="auto" w:val="clear"/>
        </w:rPr>
        <w:t xml:space="preserve"> ACTING </w:t>
      </w:r>
      <w:r>
        <w:rPr>
          <w:rFonts w:ascii="Arial" w:cs="Arial" w:eastAsia="Arial" w:hAnsi="Arial"/>
          <w:sz w:val="20"/>
          <w:szCs w:val="20"/>
        </w:rPr>
        <w:t xml:space="preserve">  What small step can you take tomorrow in a situation where you are in doubt?</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sectPr>
      <w:headerReference w:type="default" r:id="rId7"/>
      <w:footerReference w:type="default" r:id="rId8"/>
      <w:headerReference w:type="first" r:id="rId11"/>
      <w:footerReference w:type="first" r:id="rId12"/>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Method based on: Gandhi’s talisman (Pyarelal, 1958; in our own words). Adaptation and case: Moral Craftsmanship, moralcraftsmanship.com. Licence: CC BY-SA 4.0 – https://creativecommons.org/licenses/by-sa/4.0/deed.en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MORAL CRAFTSMANSHIP · RESEARCH GROUP ETHICAL PRACTICE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c8cbcdc6e9855d1ac4721de21dc5c81360000ca.jpg"/><Relationship Id="rId10"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MW19 The email to Rosa (Higher education HRM, EN, student version)</dc:title>
  <dc:creator>Moreel Vakmanschap</dc:creator>
  <cp:lastModifiedBy>Moral Craftsmanship</cp:lastModifiedBy>
  <cp:revision>1</cp:revision>
  <dcterms:created xsi:type="dcterms:W3CDTF">2026-09-30T10:57:57.701Z</dcterms:created>
  <dcterms:modified xsi:type="dcterms:W3CDTF">2026-09-30T10:57:57.701Z</dcterms:modified>
  <dc:language>en-GB</dc:language>
</cp:coreProperties>
</file>

<file path=docProps/custom.xml><?xml version="1.0" encoding="utf-8"?>
<Properties xmlns="http://schemas.openxmlformats.org/officeDocument/2006/custom-properties" xmlns:vt="http://schemas.openxmlformats.org/officeDocument/2006/docPropsVTypes"/>
</file>