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TEACHER VERSION · MW50</w:t>
            </w:r>
          </w:p>
          <w:p>
            <w:pPr>
              <w:spacing w:after="40" w:before="0" w:line="250"/>
            </w:pPr>
            <w:r>
              <w:rPr>
                <w:rFonts w:ascii="Arial" w:cs="Arial" w:eastAsia="Arial" w:hAnsi="Arial"/>
                <w:b/>
                <w:bCs/>
                <w:color w:val="FFFFFF"/>
                <w:sz w:val="34"/>
                <w:szCs w:val="34"/>
              </w:rPr>
              <w:t xml:space="preserve">One hand cannot lift a bundle</w:t>
            </w:r>
          </w:p>
          <w:p>
            <w:pPr>
              <w:spacing w:after="0" w:before="0"/>
            </w:pPr>
            <w:r>
              <w:rPr>
                <w:rFonts w:ascii="Arial" w:cs="Arial" w:eastAsia="Arial" w:hAnsi="Arial"/>
                <w:color w:val="DDE6F0"/>
                <w:sz w:val="19"/>
                <w:szCs w:val="19"/>
              </w:rPr>
              <w:t xml:space="preserve">Suitable for: Vocational · Applied · Academic · Facility management · English · to accompany the student version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recognise a value in a proverb and link it to a case. (Seeing)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find a counterexample in which the proverb does not hold. (Weighing)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weigh two opposing values and justify a choice. (Weighing)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MESO?</w:t>
      </w:r>
    </w:p>
    <w:p>
      <w:pPr>
        <w:spacing w:after="60" w:before="0" w:line="264"/>
      </w:pPr>
      <w:r>
        <w:rPr>
          <w:rFonts w:ascii="Arial" w:cs="Arial" w:eastAsia="Arial" w:hAnsi="Arial"/>
          <w:b/>
          <w:bCs/>
          <w:sz w:val="20"/>
          <w:szCs w:val="20"/>
        </w:rPr>
        <w:t xml:space="preserve">Meso: Dilara’s values (care for the team, quality of the work) collide with the rules of the contract and the client’s expectations, and several stakeholders are involved.</w:t>
      </w:r>
    </w:p>
    <w:p>
      <w:pPr>
        <w:spacing w:after="70" w:before="0"/>
      </w:pPr>
      <w:r>
        <w:rPr>
          <w:rFonts w:ascii="Arial" w:cs="Arial" w:eastAsia="Arial" w:hAnsi="Arial"/>
          <w:i/>
          <w:iCs/>
          <w:color w:val="5F5E5A"/>
          <w:sz w:val="15"/>
          <w:szCs w:val="15"/>
        </w:rPr>
        <w:t xml:space="preserve">Classified according to the micro – meso – macro distinction (working definition, Lectoraat Ethisch Werken / Professorship Ethical Work, Fontys; inspired by the work of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Test: </w:t>
      </w:r>
      <w:r>
        <w:rPr>
          <w:rFonts w:ascii="Arial" w:cs="Arial" w:eastAsia="Arial" w:hAnsi="Arial"/>
          <w:sz w:val="20"/>
          <w:szCs w:val="20"/>
        </w:rPr>
        <w:t xml:space="preserve">“Who or what would have to change for this dilemma to disappear?” Answer: the contract terms and the expectations in the organisation. That is Meso.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 Micro: </w:t>
      </w:r>
      <w:r>
        <w:rPr>
          <w:rFonts w:ascii="Arial" w:cs="Arial" w:eastAsia="Arial" w:hAnsi="Arial"/>
          <w:sz w:val="20"/>
          <w:szCs w:val="20"/>
        </w:rPr>
        <w:t xml:space="preserve">Dilara does not decide alone; the contract and the client help determine what is possible.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 Macro: </w:t>
      </w:r>
      <w:r>
        <w:rPr>
          <w:rFonts w:ascii="Arial" w:cs="Arial" w:eastAsia="Arial" w:hAnsi="Arial"/>
          <w:sz w:val="20"/>
          <w:szCs w:val="20"/>
        </w:rPr>
        <w:t xml:space="preserve">no law or policy forms the core; it is about a contract rule.</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Materials: </w:t>
      </w:r>
      <w:r>
        <w:rPr>
          <w:rFonts w:ascii="Arial" w:cs="Arial" w:eastAsia="Arial" w:hAnsi="Arial"/>
          <w:sz w:val="20"/>
          <w:szCs w:val="20"/>
        </w:rPr>
        <w:t xml:space="preserve">student version, proverb cards (see below), pens, flip chart.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Facilitator role: </w:t>
      </w:r>
      <w:r>
        <w:rPr>
          <w:rFonts w:ascii="Arial" w:cs="Arial" w:eastAsia="Arial" w:hAnsi="Arial"/>
          <w:sz w:val="20"/>
          <w:szCs w:val="20"/>
        </w:rPr>
        <w:t xml:space="preserve">let groups choose a proverb themselves and name its origin. Check the translations beforehand with a native speaker.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Safety: </w:t>
      </w:r>
      <w:r>
        <w:rPr>
          <w:rFonts w:ascii="Arial" w:cs="Arial" w:eastAsia="Arial" w:hAnsi="Arial"/>
          <w:sz w:val="20"/>
          <w:szCs w:val="20"/>
        </w:rPr>
        <w:t xml:space="preserve">work with the fictional case; do not name real suppliers or colleagues.</w:t>
      </w:r>
    </w:p>
    <w:p>
      <w:pPr>
        <w:keepNext/>
        <w:pBdr>
          <w:bottom w:val="single" w:color="5B2D8E" w:sz="8" w:space="2"/>
        </w:pBdr>
        <w:spacing w:after="90" w:before="200"/>
      </w:pPr>
      <w:r>
        <w:rPr>
          <w:rFonts w:ascii="Arial" w:cs="Arial" w:eastAsia="Arial" w:hAnsi="Arial"/>
          <w:b/>
          <w:bCs/>
          <w:color w:val="5B2D8E"/>
          <w:spacing w:val="30"/>
          <w:sz w:val="20"/>
          <w:szCs w:val="20"/>
        </w:rPr>
        <w:t xml:space="preserve">ORIGIN AND BACKGROUND</w:t>
      </w:r>
    </w:p>
    <w:p>
      <w:pPr>
        <w:spacing w:after="60" w:before="0" w:line="264"/>
      </w:pPr>
      <w:r>
        <w:rPr>
          <w:rFonts w:ascii="Arial" w:cs="Arial" w:eastAsia="Arial" w:hAnsi="Arial"/>
          <w:sz w:val="20"/>
          <w:szCs w:val="20"/>
        </w:rPr>
        <w:t xml:space="preserve">Examples of proverbs you can use: “One hand cannot lift a bundle” (Akan, Ghana; Gyekye, 1995); “Haba na haba hujaza kibaba” (Swahili: little by little fills the measure); “Mgeni siku mbili; siku ya tatu mpe jembe” (Swahili: a guest for two days; on the third day give him a hoe). Check the translation.</w:t>
      </w:r>
    </w:p>
    <w:p>
      <w:pPr>
        <w:spacing w:after="60" w:before="0" w:line="264"/>
      </w:pPr>
      <w:r>
        <w:rPr>
          <w:rFonts w:ascii="Arial" w:cs="Arial" w:eastAsia="Arial" w:hAnsi="Arial"/>
          <w:sz w:val="20"/>
          <w:szCs w:val="20"/>
        </w:rPr>
        <w:t xml:space="preserve">Do not present proverbs as “the” opinion of an entire people. They are shared sayings, not rules. Name the language and origin of each proverb. State yourself that you do not have complete knowledge of all variants.</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Students take a proverb literally as a rule. Ask: when does it not hold?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A proverb is presented as exotic. Link it to the own work practice.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translation is uncertain. Never let students present the translation as fact without a check.</w:t>
      </w:r>
    </w:p>
    <w:p>
      <w:pPr>
        <w:keepNext/>
        <w:pBdr>
          <w:bottom w:val="single" w:color="5B2D8E" w:sz="8" w:space="2"/>
        </w:pBdr>
        <w:spacing w:after="90" w:before="200"/>
      </w:pPr>
      <w:r>
        <w:rPr>
          <w:rFonts w:ascii="Arial" w:cs="Arial" w:eastAsia="Arial" w:hAnsi="Arial"/>
          <w:b/>
          <w:bCs/>
          <w:color w:val="5B2D8E"/>
          <w:spacing w:val="30"/>
          <w:sz w:val="20"/>
          <w:szCs w:val="20"/>
        </w:rPr>
        <w:t xml:space="preserve">QUESTIONS THE FACILITATOR CAN ASK</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Phase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Question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Seeing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“Which value is in this proverb?”</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Seeing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“Where in the case do you see this happening?”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Weighing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“When does this proverb not hold?”</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Weighing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“Which other proverb contradicts it, and who is right?”</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Shorter (20 min): </w:t>
      </w:r>
      <w:r>
        <w:rPr>
          <w:rFonts w:ascii="Arial" w:cs="Arial" w:eastAsia="Arial" w:hAnsi="Arial"/>
          <w:sz w:val="20"/>
          <w:szCs w:val="20"/>
        </w:rPr>
        <w:t xml:space="preserve">let each group work out one proverb.</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work with cards on a shared board.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Large group: </w:t>
      </w:r>
      <w:r>
        <w:rPr>
          <w:rFonts w:ascii="Arial" w:cs="Arial" w:eastAsia="Arial" w:hAnsi="Arial"/>
          <w:sz w:val="20"/>
          <w:szCs w:val="20"/>
        </w:rPr>
        <w:t xml:space="preserve">work with tables of four and let each table report back one value.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Follow-up: </w:t>
      </w:r>
      <w:r>
        <w:rPr>
          <w:rFonts w:ascii="Arial" w:cs="Arial" w:eastAsia="Arial" w:hAnsi="Arial"/>
          <w:sz w:val="20"/>
          <w:szCs w:val="20"/>
        </w:rPr>
        <w:t xml:space="preserve">let students bring in a proverb from their own language and do the same analysis.</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Vocational</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Applied</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Academic</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Language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short sentences</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up to about 25 words per sentence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discipline terms</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internship and workplace situations, close to home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professional case with several stakeholders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case with a system or policy level</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Weighing</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intuition plus one question per step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at least two ethical perspectives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name and critique theories explicitly</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Reflection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did I do, what will I do next time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 reasoned professional choice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justification with literature</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For this method: with vocational students work with one proverb per group; with academic students let the group compare the proverb with a Western virtue or a theory.</w:t>
      </w:r>
    </w:p>
    <w:p>
      <w:pPr>
        <w:keepNext/>
        <w:pBdr>
          <w:bottom w:val="single" w:color="5B2D8E" w:sz="8" w:space="2"/>
        </w:pBdr>
        <w:spacing w:after="90" w:before="200"/>
      </w:pPr>
      <w:r>
        <w:rPr>
          <w:rFonts w:ascii="Arial" w:cs="Arial" w:eastAsia="Arial" w:hAnsi="Arial"/>
          <w:b/>
          <w:bCs/>
          <w:color w:val="5B2D8E"/>
          <w:spacing w:val="30"/>
          <w:sz w:val="20"/>
          <w:szCs w:val="20"/>
        </w:rPr>
        <w:t xml:space="preserve">SOURCES (APA 7)</w:t>
      </w:r>
    </w:p>
    <w:p>
      <w:pPr>
        <w:spacing w:after="50" w:before="0" w:line="252"/>
        <w:ind w:left="360" w:hanging="360"/>
      </w:pPr>
      <w:r>
        <w:rPr>
          <w:rFonts w:ascii="Arial" w:cs="Arial" w:eastAsia="Arial" w:hAnsi="Arial"/>
          <w:color w:val="5F5E5A"/>
          <w:sz w:val="18"/>
          <w:szCs w:val="18"/>
        </w:rPr>
        <w:t xml:space="preserve">Creative Commons. (n.d.).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Gyekye, K. (1995). </w:t>
      </w:r>
      <w:r>
        <w:rPr>
          <w:rFonts w:ascii="Arial" w:cs="Arial" w:eastAsia="Arial" w:hAnsi="Arial"/>
          <w:i/>
          <w:iCs/>
          <w:color w:val="5F5E5A"/>
          <w:sz w:val="18"/>
          <w:szCs w:val="18"/>
        </w:rPr>
        <w:t xml:space="preserve">An essay on African philosophical thought: The Akan conceptual scheme</w:t>
      </w:r>
      <w:r>
        <w:rPr>
          <w:rFonts w:ascii="Arial" w:cs="Arial" w:eastAsia="Arial" w:hAnsi="Arial"/>
          <w:color w:val="5F5E5A"/>
          <w:sz w:val="18"/>
          <w:szCs w:val="18"/>
        </w:rPr>
        <w:t xml:space="preserve"> (Rev. ed.). Temple University Press.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[Doctoral dissertation, Tilburg University]. Ridderprint. https://research.tilburguniversity.edu/en/publications/impossible-and-inevitable-reconstructing-the-critique-of-business/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proverb dialogue (Akan, Swahili, Yoruba); see Gyekye (1995).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MW50 One hand cannot lift a bundle (Facility management,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