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MW51</w:t>
            </w:r>
          </w:p>
          <w:p>
            <w:pPr>
              <w:spacing w:after="40" w:before="0" w:line="250"/>
            </w:pPr>
            <w:r>
              <w:rPr>
                <w:rFonts w:ascii="Arial" w:cs="Arial" w:eastAsia="Arial" w:hAnsi="Arial"/>
                <w:b/>
                <w:bCs/>
                <w:color w:val="FFFFFF"/>
                <w:sz w:val="34"/>
                <w:szCs w:val="34"/>
              </w:rPr>
              <w:t xml:space="preserve">Slim of fout?</w:t>
            </w:r>
          </w:p>
          <w:p>
            <w:pPr>
              <w:spacing w:after="0" w:before="0"/>
            </w:pPr>
            <w:r>
              <w:rPr>
                <w:rFonts w:ascii="Arial" w:cs="Arial" w:eastAsia="Arial" w:hAnsi="Arial"/>
                <w:color w:val="DDE6F0"/>
                <w:sz w:val="19"/>
                <w:szCs w:val="19"/>
              </w:rPr>
              <w:t xml:space="preserve">Geschikt voor: MBO · HBO · Zorg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MICRO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beoordelen of een list een deugd of een tekortkoming is en dat onderbouwen. (Wegen)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zien wie de prijs betaalt van een slimme oplossing. (Zien)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verhaal vertalen naar een situatie uit de eigen beroepspraktijk. (Zien, Wegen)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MICRO?</w:t>
      </w:r>
    </w:p>
    <w:p>
      <w:pPr>
        <w:spacing w:after="60" w:before="0" w:line="264"/>
      </w:pPr>
      <w:r>
        <w:rPr>
          <w:rFonts w:ascii="Arial" w:cs="Arial" w:eastAsia="Arial" w:hAnsi="Arial"/>
          <w:b/>
          <w:bCs/>
          <w:sz w:val="20"/>
          <w:szCs w:val="20"/>
        </w:rPr>
        <w:t xml:space="preserve">Micro: Lena beslist zelf, en de spanning zit tussen twee persoonlijke waarden (zorg voor één patiënt en eerlijkheid tegenover anderen).</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Lena’s eigen keuze. Dat is Micro.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Meso: </w:t>
      </w:r>
      <w:r>
        <w:rPr>
          <w:rFonts w:ascii="Arial" w:cs="Arial" w:eastAsia="Arial" w:hAnsi="Arial"/>
          <w:sz w:val="20"/>
          <w:szCs w:val="20"/>
        </w:rPr>
        <w:t xml:space="preserve">de wachtlijstregel is achtergrond; niemand controleert Lena en de keuze ligt bij haar (bij twijfel het laagste niveau).</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een zorgcasus raakt echte situaties. Benadruk dat de casus fictief is en dat de vraag open is.</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 flip-over voor de vertaalslag.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laat de studenten eerst het verhaal bespreken en pas daarna de casus. Sluit niet af met een oordeel.</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Aansluiting: </w:t>
      </w:r>
      <w:r>
        <w:rPr>
          <w:rFonts w:ascii="Arial" w:cs="Arial" w:eastAsia="Arial" w:hAnsi="Arial"/>
          <w:sz w:val="20"/>
          <w:szCs w:val="20"/>
        </w:rPr>
        <w:t xml:space="preserve">Anansi is bij veel studenten met een Surinaamse of Antilliaanse achtergrond bekend. Vraag of iemand het verhaal kent en laat die student vertellen.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Het verhaal is een hervertelling in eigen woorden naar de Akan-traditie. Rattray (1930) verzamelde veel Akan-Ashanti-verhalen; die uitgave is publiek domein. Controleer vóór publicatie welk verhaal precies bij Rattray staat en pas de bronvermelding zo nodig aan.</w:t>
      </w:r>
    </w:p>
    <w:p>
      <w:pPr>
        <w:spacing w:after="60" w:before="0" w:line="264"/>
      </w:pPr>
      <w:r>
        <w:rPr>
          <w:rFonts w:ascii="Arial" w:cs="Arial" w:eastAsia="Arial" w:hAnsi="Arial"/>
          <w:sz w:val="20"/>
          <w:szCs w:val="20"/>
        </w:rPr>
        <w:t xml:space="preserve">Trickster-verhalen vragen niet om een eenduidig oordeel. De trickster wint, maar niet altijd zonder gevolgen. Bespreek wie macht heeft, wie de prijs betaalt en wanneer list een manier is om onrecht te keren in plaats van onrecht te veroorzaken.</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oordelen snel: “list is fout”. Vraag: wanneer is list tegenover een machtige gerechtvaardigd?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casus wordt een echte zorgdiscussie over wachtlijsten. Breng het terug naar de kernvraag.</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Studenten delen echte patiëntervaringen. Herinner aan vertrouwelijkheid en gebruik alleen de fictieve casus.</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“Wie is hier de zwakkere partij, en wie de sterkere?”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“Wie betaalt de prijs van Lena’s keuze?”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“Is dit slim, of is dit oneerlijk?”</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Wegen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zou Lena kunnen doen zonder te liegen?”</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(30 min): </w:t>
      </w:r>
      <w:r>
        <w:rPr>
          <w:rFonts w:ascii="Arial" w:cs="Arial" w:eastAsia="Arial" w:hAnsi="Arial"/>
          <w:sz w:val="20"/>
          <w:szCs w:val="20"/>
        </w:rPr>
        <w:t xml:space="preserve">sla de stap met de individuele vragen over en ga direct naar de casus.</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gebruik een gedeeld bord met twee kolommen: “slim” en “fout”.</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werk met tafels van vier en laat per tafel één argument terugkoppelen.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een eigen kort “Anansi-verhaal” in hun beroep schrijven.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MBO werk je met korte vragen en de vertaalslag in tweetallen; bij HBO laat je minstens twee ethische perspectieven benoemen (bijvoorbeeld plichtethiek en gevolgenethiek).</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p>
      <w:pPr>
        <w:spacing w:after="50" w:before="0" w:line="252"/>
        <w:ind w:left="360" w:hanging="360"/>
      </w:pPr>
      <w:r>
        <w:rPr>
          <w:rFonts w:ascii="Arial" w:cs="Arial" w:eastAsia="Arial" w:hAnsi="Arial"/>
          <w:color w:val="5F5E5A"/>
          <w:sz w:val="18"/>
          <w:szCs w:val="18"/>
        </w:rPr>
        <w:t xml:space="preserve">Rattray, R. S. (1930). </w:t>
      </w:r>
      <w:r>
        <w:rPr>
          <w:rFonts w:ascii="Arial" w:cs="Arial" w:eastAsia="Arial" w:hAnsi="Arial"/>
          <w:i/>
          <w:iCs/>
          <w:color w:val="5F5E5A"/>
          <w:sz w:val="18"/>
          <w:szCs w:val="18"/>
        </w:rPr>
        <w:t xml:space="preserve">Akan-Ashanti folk-tales</w:t>
      </w:r>
      <w:r>
        <w:rPr>
          <w:rFonts w:ascii="Arial" w:cs="Arial" w:eastAsia="Arial" w:hAnsi="Arial"/>
          <w:color w:val="5F5E5A"/>
          <w:sz w:val="18"/>
          <w:szCs w:val="18"/>
        </w:rPr>
        <w:t xml:space="preserve">. Clarendon Press.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Verhaal/tekst naar: Rattray, R. S. (1930), Akan-Ashanti folk-tales – publiek domein. Hervertelling, opdrachten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MW51 Slim of fout? (Zorg,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