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MW52 — MA’AT-WEGING · ONDERZOEKSINTEGRITEIT</w:t>
            </w:r>
          </w:p>
          <w:p>
            <w:pPr>
              <w:spacing w:after="40" w:before="0" w:line="250"/>
            </w:pPr>
            <w:r>
              <w:rPr>
                <w:rFonts w:ascii="Arial" w:cs="Arial" w:eastAsia="Arial" w:hAnsi="Arial"/>
                <w:b/>
                <w:bCs/>
                <w:color w:val="FFFFFF"/>
                <w:sz w:val="34"/>
                <w:szCs w:val="34"/>
              </w:rPr>
              <w:t xml:space="preserve">Licht of zwaar?</w:t>
            </w:r>
          </w:p>
          <w:p>
            <w:pPr>
              <w:spacing w:after="0" w:before="0"/>
            </w:pPr>
            <w:r>
              <w:rPr>
                <w:rFonts w:ascii="Arial" w:cs="Arial" w:eastAsia="Arial" w:hAnsi="Arial"/>
                <w:color w:val="DDE6F0"/>
                <w:sz w:val="19"/>
                <w:szCs w:val="19"/>
              </w:rPr>
              <w:t xml:space="preserve">Casus: een onderzoeker en één meetreeks</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Individueel + groep</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2-ONDERZOEKSINTEGRITEIT-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In het oude Egypte, zo vertelt het Dodenboek, kwam een overledene voor een weegschaal. Op de ene schaal lag zijn hart, op de andere de veer van Ma’at, het symbool van waarheid en rechtvaardigheid. Voor de weging legde hij verklaringen af, zoals “ik heb niet gelogen”. Was het hart licht, dan klopte zijn verhaal. Was het zwaar, dan niet.</w:t>
            </w:r>
          </w:p>
          <w:p>
            <w:pPr>
              <w:spacing w:after="100" w:before="0" w:line="288"/>
            </w:pPr>
            <w:r>
              <w:rPr>
                <w:rFonts w:ascii="Arial" w:cs="Arial" w:eastAsia="Arial" w:hAnsi="Arial"/>
                <w:sz w:val="21"/>
                <w:szCs w:val="21"/>
              </w:rPr>
              <w:t xml:space="preserve">Amira is postdoc bij een universiteit. Na maanden werk past één meetreeks niet bij haar hypothese. Met die reeks is het resultaat onduidelijk, zonder die reeks is het mooi. In haar methode staat nergens dat ze de reeks moet laten vallen. Haar begeleider is op vakantie, de deadline van het tijdschrift is vrijdag.</w:t>
            </w:r>
          </w:p>
          <w:p>
            <w:pPr>
              <w:spacing w:after="100" w:before="0" w:line="288"/>
            </w:pPr>
            <w:r>
              <w:rPr>
                <w:rFonts w:ascii="Arial" w:cs="Arial" w:eastAsia="Arial" w:hAnsi="Arial"/>
                <w:sz w:val="21"/>
                <w:szCs w:val="21"/>
              </w:rPr>
              <w:t xml:space="preserve">Niemand zal merken als ze de reeks stilzwijgend weglaat. Toch voelt het alsof haar hart zwaarder wordt bij elke zin die ze schrijft. Ze pakt een blad en schrijft tien dingen op die ze als onderzoeker nooit wil doen.</w:t>
            </w:r>
          </w:p>
          <w:p>
            <w:pPr>
              <w:spacing w:after="40" w:before="0" w:line="288"/>
            </w:pPr>
            <w:r>
              <w:rPr>
                <w:rFonts w:ascii="Arial" w:cs="Arial" w:eastAsia="Arial" w:hAnsi="Arial"/>
                <w:b/>
                <w:bCs/>
                <w:sz w:val="21"/>
                <w:szCs w:val="21"/>
              </w:rPr>
              <w:t xml:space="preserve">Welke verklaringen kan Amira met een licht hart afleggen, en welke niet?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hervertelling en de casus van Amira. Voor wie of wat legt zij verantwoording af?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Schrijf op het blad jouw eigen tien professionele verklaringen: “Ik heb niet …” of “Ik heb altijd …”.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Weeg elke verklaring: voelt die licht of zwaar? Kleur de weegschaal in.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Bespreek in tweetallen alleen de verklaring die het zwaarst voelt. Wat maakt hem zwaar?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Schrijf op wat je doet met het zwaarste: aanpassen, vertellen, vragen of vasthouden.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MIJN VERKLARINGEN — LICHT OF ZWAAR?</w:t>
      </w:r>
    </w:p>
    <w:tbl>
      <w:tblPr>
        <w:tblW w:type="dxa" w:w="9906"/>
        <w:tblLayout w:type="fixed"/>
      </w:tblPr>
      <w:tblGrid>
        <w:gridCol w:w="800"/>
        <w:gridCol w:w="6606"/>
        <w:gridCol w:w="2500"/>
      </w:tblGrid>
      <w:tr>
        <w:trPr>
          <w:cantSplit/>
          <w:tblHeader/>
        </w:trPr>
        <w:tc>
          <w:tcPr>
            <w:tcW w:type="dxa" w:w="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Nr.</w:t>
            </w:r>
          </w:p>
        </w:tc>
        <w:tc>
          <w:tcPr>
            <w:tcW w:type="dxa" w:w="6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verklaring</w:t>
            </w:r>
          </w:p>
        </w:tc>
        <w:tc>
          <w:tcPr>
            <w:tcW w:type="dxa" w:w="2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Licht of zwaar?</w:t>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WAT DOE IK MET DE ZWAARSTE VERKLARING?</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Bij welke verklaring voelde je spanning? Wat zegt dat over wat jij belangrijk vindt?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je om jouw verklaringen ook onder tijdsdruk vol te houden?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In het Oud-Egyptische Dodenboek legt de overledene verklaringen af terwijl zijn hart wordt gewogen tegen de veer van Ma’at (waarheid, rechtvaardigheid). Wij gebruiken dit beeld als denktraditie, niet als ritueel of geloofsuitspraak. Je hoeft er niets van te geloven; het gaat om de vraag welke verklaringen jij als professional kunt afleggen.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Verhaal/tekst naar: Budge, E. A. W. (1895), The Book of the Dead – publiek domein. Hervertelling, opdrachten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MW52 Licht of zwaar? (Onderzoeksintegriteit,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