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TEACHER VERSION · MW53</w:t>
            </w:r>
          </w:p>
          <w:p>
            <w:pPr>
              <w:spacing w:after="40" w:before="0" w:line="250"/>
            </w:pPr>
            <w:r>
              <w:rPr>
                <w:rFonts w:ascii="Arial" w:cs="Arial" w:eastAsia="Arial" w:hAnsi="Arial"/>
                <w:b/>
                <w:bCs/>
                <w:color w:val="FFFFFF"/>
                <w:sz w:val="34"/>
                <w:szCs w:val="34"/>
              </w:rPr>
              <w:t xml:space="preserve">Knocking nine times</w:t>
            </w:r>
          </w:p>
          <w:p>
            <w:pPr>
              <w:spacing w:after="0" w:before="0"/>
            </w:pPr>
            <w:r>
              <w:rPr>
                <w:rFonts w:ascii="Arial" w:cs="Arial" w:eastAsia="Arial" w:hAnsi="Arial"/>
                <w:color w:val="DDE6F0"/>
                <w:sz w:val="19"/>
                <w:szCs w:val="19"/>
              </w:rPr>
              <w:t xml:space="preserve">Suitable for: Vocational · Applied · Academic · Government (municipality) · English · to accompany the student version</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COMPLEXITY</w:t>
            </w:r>
          </w:p>
          <w:p>
            <w:pPr>
              <w:spacing w:after="0" w:before="0"/>
              <w:jc w:val="center"/>
            </w:pPr>
            <w:r>
              <w:rPr>
                <w:rFonts w:ascii="Arial" w:cs="Arial" w:eastAsia="Arial" w:hAnsi="Arial"/>
                <w:b/>
                <w:bCs/>
                <w:color w:val="FFFFFF"/>
                <w:sz w:val="26"/>
                <w:szCs w:val="26"/>
              </w:rPr>
              <w:t xml:space="preserve">MACRO ★★★</w:t>
            </w:r>
          </w:p>
        </w:tc>
      </w:tr>
    </w:tbl>
    <w:p>
      <w:pPr>
        <w:spacing w:after="4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LEARNING OUTCOMES</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The student can draft a plea with facts, value and a concrete request. (Acting)</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The student can choose between an objection, a report and whistleblowing and justify that choice. (Acting)</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The student can make a plan to persevere when there is no immediate response. (Persevering)</w:t>
      </w:r>
    </w:p>
    <w:p>
      <w:pPr>
        <w:keepNext/>
        <w:pBdr>
          <w:bottom w:val="single" w:color="5B2D8E" w:sz="8" w:space="2"/>
        </w:pBdr>
        <w:spacing w:after="90" w:before="200"/>
      </w:pPr>
      <w:r>
        <w:rPr>
          <w:rFonts w:ascii="Arial" w:cs="Arial" w:eastAsia="Arial" w:hAnsi="Arial"/>
          <w:b/>
          <w:bCs/>
          <w:color w:val="5B2D8E"/>
          <w:spacing w:val="30"/>
          <w:sz w:val="20"/>
          <w:szCs w:val="20"/>
        </w:rPr>
        <w:t xml:space="preserve">COMPLEXITY: WHY MACRO?</w:t>
      </w:r>
    </w:p>
    <w:p>
      <w:pPr>
        <w:spacing w:after="60" w:before="0" w:line="264"/>
      </w:pPr>
      <w:r>
        <w:rPr>
          <w:rFonts w:ascii="Arial" w:cs="Arial" w:eastAsia="Arial" w:hAnsi="Arial"/>
          <w:b/>
          <w:bCs/>
          <w:sz w:val="20"/>
          <w:szCs w:val="20"/>
        </w:rPr>
        <w:t xml:space="preserve">Macro: the core lies with a national rule and a faulty system, beyond the reach of Jamila or the municipality.</w:t>
      </w:r>
    </w:p>
    <w:p>
      <w:pPr>
        <w:spacing w:after="70" w:before="0"/>
      </w:pPr>
      <w:r>
        <w:rPr>
          <w:rFonts w:ascii="Arial" w:cs="Arial" w:eastAsia="Arial" w:hAnsi="Arial"/>
          <w:i/>
          <w:iCs/>
          <w:color w:val="5F5E5A"/>
          <w:sz w:val="15"/>
          <w:szCs w:val="15"/>
        </w:rPr>
        <w:t xml:space="preserve">Classified according to the micro – meso – macro distinction (working definition, Lectoraat Ethisch Werken / Professorship Ethical Work, Fontys; inspired by the work of Meijer, 2023).</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Test: </w:t>
      </w:r>
      <w:r>
        <w:rPr>
          <w:rFonts w:ascii="Arial" w:cs="Arial" w:eastAsia="Arial" w:hAnsi="Arial"/>
          <w:sz w:val="20"/>
          <w:szCs w:val="20"/>
        </w:rPr>
        <w:t xml:space="preserve">“Who or what would have to change for this dilemma to disappear?” Answer: the national regulation and the link between systems. That is Macro.</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Not Meso: </w:t>
      </w:r>
      <w:r>
        <w:rPr>
          <w:rFonts w:ascii="Arial" w:cs="Arial" w:eastAsia="Arial" w:hAnsi="Arial"/>
          <w:sz w:val="20"/>
          <w:szCs w:val="20"/>
        </w:rPr>
        <w:t xml:space="preserve">the municipality cannot change the rule and organisational culture is not the cause.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Note: </w:t>
      </w:r>
      <w:r>
        <w:rPr>
          <w:rFonts w:ascii="Arial" w:cs="Arial" w:eastAsia="Arial" w:hAnsi="Arial"/>
          <w:sz w:val="20"/>
          <w:szCs w:val="20"/>
        </w:rPr>
        <w:t xml:space="preserve">the regulation in this case is fictional; no real law or agency is meant.</w:t>
      </w:r>
    </w:p>
    <w:p>
      <w:pPr>
        <w:keepNext/>
        <w:pBdr>
          <w:bottom w:val="single" w:color="5B2D8E" w:sz="8" w:space="2"/>
        </w:pBdr>
        <w:spacing w:after="90" w:before="200"/>
      </w:pPr>
      <w:r>
        <w:rPr>
          <w:rFonts w:ascii="Arial" w:cs="Arial" w:eastAsia="Arial" w:hAnsi="Arial"/>
          <w:b/>
          <w:bCs/>
          <w:color w:val="5B2D8E"/>
          <w:spacing w:val="30"/>
          <w:sz w:val="20"/>
          <w:szCs w:val="20"/>
        </w:rPr>
        <w:t xml:space="preserve">PREPARATION AND PROCEDURE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Materials: </w:t>
      </w:r>
      <w:r>
        <w:rPr>
          <w:rFonts w:ascii="Arial" w:cs="Arial" w:eastAsia="Arial" w:hAnsi="Arial"/>
          <w:sz w:val="20"/>
          <w:szCs w:val="20"/>
        </w:rPr>
        <w:t xml:space="preserve">student version, pens, optionally example forms for objections and reporting points of your own organisation.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Facilitator role: </w:t>
      </w:r>
      <w:r>
        <w:rPr>
          <w:rFonts w:ascii="Arial" w:cs="Arial" w:eastAsia="Arial" w:hAnsi="Arial"/>
          <w:sz w:val="20"/>
          <w:szCs w:val="20"/>
        </w:rPr>
        <w:t xml:space="preserve">let the group discuss both the individual steps and the system level. Avoid political positions.</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Safety: </w:t>
      </w:r>
      <w:r>
        <w:rPr>
          <w:rFonts w:ascii="Arial" w:cs="Arial" w:eastAsia="Arial" w:hAnsi="Arial"/>
          <w:sz w:val="20"/>
          <w:szCs w:val="20"/>
        </w:rPr>
        <w:t xml:space="preserve">work with the fictional case; do not name real residents, agencies or regulations.</w:t>
      </w:r>
    </w:p>
    <w:p>
      <w:pPr>
        <w:keepNext/>
        <w:pBdr>
          <w:bottom w:val="single" w:color="5B2D8E" w:sz="8" w:space="2"/>
        </w:pBdr>
        <w:spacing w:after="90" w:before="200"/>
      </w:pPr>
      <w:r>
        <w:rPr>
          <w:rFonts w:ascii="Arial" w:cs="Arial" w:eastAsia="Arial" w:hAnsi="Arial"/>
          <w:b/>
          <w:bCs/>
          <w:color w:val="5B2D8E"/>
          <w:spacing w:val="30"/>
          <w:sz w:val="20"/>
          <w:szCs w:val="20"/>
        </w:rPr>
        <w:t xml:space="preserve">ORIGIN AND BACKGROUND</w:t>
      </w:r>
    </w:p>
    <w:p>
      <w:pPr>
        <w:spacing w:after="60" w:before="0" w:line="264"/>
      </w:pPr>
      <w:r>
        <w:rPr>
          <w:rFonts w:ascii="Arial" w:cs="Arial" w:eastAsia="Arial" w:hAnsi="Arial"/>
          <w:sz w:val="20"/>
          <w:szCs w:val="20"/>
        </w:rPr>
        <w:t xml:space="preserve">The ancient Egyptian story is translated by, among others, Lichtheim (1973). The original text is in the public domain, but modern translations are not. This worksheet therefore uses our own retelling.</w:t>
      </w:r>
    </w:p>
    <w:p>
      <w:pPr>
        <w:spacing w:after="60" w:before="0" w:line="264"/>
      </w:pPr>
      <w:r>
        <w:rPr>
          <w:rFonts w:ascii="Arial" w:cs="Arial" w:eastAsia="Arial" w:hAnsi="Arial"/>
          <w:sz w:val="20"/>
          <w:szCs w:val="20"/>
        </w:rPr>
        <w:t xml:space="preserve">Discuss that the story also raises questions: the official deliberately keeps the peasant waiting. Just institutions should not depend on the eloquence of the person who knocks. Link this to MW16 (giving voice to values) and to the question who cannot speak as the peasant does.</w:t>
      </w:r>
    </w:p>
    <w:p>
      <w:pPr>
        <w:keepNext/>
        <w:pBdr>
          <w:bottom w:val="single" w:color="5B2D8E" w:sz="8" w:space="2"/>
        </w:pBdr>
        <w:spacing w:after="90" w:before="200"/>
      </w:pPr>
      <w:r>
        <w:rPr>
          <w:rFonts w:ascii="Arial" w:cs="Arial" w:eastAsia="Arial" w:hAnsi="Arial"/>
          <w:b/>
          <w:bCs/>
          <w:color w:val="5B2D8E"/>
          <w:spacing w:val="30"/>
          <w:sz w:val="20"/>
          <w:szCs w:val="20"/>
        </w:rPr>
        <w:t xml:space="preserve">PITFALLS</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The plea turns into a complaint without a concrete request. Ask: what do you want to happen?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The group concludes that “the system” is guilty and nobody can do anything. Ask: what can be done within your role?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Political discussion about real regulations. Bring it back to the fictional case.</w:t>
      </w:r>
    </w:p>
    <w:p>
      <w:pPr>
        <w:keepNext/>
        <w:pBdr>
          <w:bottom w:val="single" w:color="5B2D8E" w:sz="8" w:space="2"/>
        </w:pBdr>
        <w:spacing w:after="90" w:before="200"/>
      </w:pPr>
      <w:r>
        <w:rPr>
          <w:rFonts w:ascii="Arial" w:cs="Arial" w:eastAsia="Arial" w:hAnsi="Arial"/>
          <w:b/>
          <w:bCs/>
          <w:color w:val="5B2D8E"/>
          <w:spacing w:val="30"/>
          <w:sz w:val="20"/>
          <w:szCs w:val="20"/>
        </w:rPr>
        <w:t xml:space="preserve">QUESTIONS THE FACILITATOR CAN ASK</w:t>
      </w:r>
    </w:p>
    <w:tbl>
      <w:tblPr>
        <w:tblW w:type="dxa" w:w="9906"/>
        <w:tblLayout w:type="fixed"/>
      </w:tblPr>
      <w:tblGrid>
        <w:gridCol w:w="1700"/>
        <w:gridCol w:w="8206"/>
      </w:tblGrid>
      <w:tr>
        <w:trPr>
          <w:cantSplit/>
          <w:tblHeader/>
        </w:trPr>
        <w:tc>
          <w:tcPr>
            <w:tcW w:type="dxa" w:w="17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Phase</w:t>
            </w:r>
          </w:p>
        </w:tc>
        <w:tc>
          <w:tcPr>
            <w:tcW w:type="dxa" w:w="82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Question</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Acting</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“What is the concrete request in your plea?”</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Acting</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“Which form fits: objection, report or whistleblowing, and why?”</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Persevering</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“What do you do if there is no response?”</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Persevering</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“Who can you involve to keep this up?”</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VARIATIONS AND DIFFERENTIATION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Shorter (45 min): </w:t>
      </w:r>
      <w:r>
        <w:rPr>
          <w:rFonts w:ascii="Arial" w:cs="Arial" w:eastAsia="Arial" w:hAnsi="Arial"/>
          <w:sz w:val="20"/>
          <w:szCs w:val="20"/>
        </w:rPr>
        <w:t xml:space="preserve">write one plea instead of exchanging in small groups.</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Online: </w:t>
      </w:r>
      <w:r>
        <w:rPr>
          <w:rFonts w:ascii="Arial" w:cs="Arial" w:eastAsia="Arial" w:hAnsi="Arial"/>
          <w:sz w:val="20"/>
          <w:szCs w:val="20"/>
        </w:rPr>
        <w:t xml:space="preserve">work with a shared document and exchange pleas in pairs.</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Large group: </w:t>
      </w:r>
      <w:r>
        <w:rPr>
          <w:rFonts w:ascii="Arial" w:cs="Arial" w:eastAsia="Arial" w:hAnsi="Arial"/>
          <w:sz w:val="20"/>
          <w:szCs w:val="20"/>
        </w:rPr>
        <w:t xml:space="preserve">let groups write a joint plea.</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Follow-up: </w:t>
      </w:r>
      <w:r>
        <w:rPr>
          <w:rFonts w:ascii="Arial" w:cs="Arial" w:eastAsia="Arial" w:hAnsi="Arial"/>
          <w:sz w:val="20"/>
          <w:szCs w:val="20"/>
        </w:rPr>
        <w:t xml:space="preserve">let students look up a real reporting procedure of their own organisation and compare.</w:t>
      </w:r>
    </w:p>
    <w:p>
      <w:pPr>
        <w:spacing w:after="40" w:before="0"/>
      </w:pPr>
      <w:r>
        <w:rPr>
          <w:rFonts w:ascii="Arial" w:cs="Arial" w:eastAsia="Arial" w:hAnsi="Arial"/>
          <w:sz w:val="10"/>
          <w:szCs w:val="10"/>
        </w:rPr>
        <w:t xml:space="preserve"/>
      </w:r>
    </w:p>
    <w:tbl>
      <w:tblPr>
        <w:tblW w:type="dxa" w:w="9906"/>
        <w:tblLayout w:type="fixed"/>
      </w:tblPr>
      <w:tblGrid>
        <w:gridCol w:w="1500"/>
        <w:gridCol w:w="2800"/>
        <w:gridCol w:w="2900"/>
        <w:gridCol w:w="2706"/>
      </w:tblGrid>
      <w:tr>
        <w:trPr>
          <w:cantSplit/>
          <w:tblHeader/>
        </w:trPr>
        <w:tc>
          <w:tcPr>
            <w:tcW w:type="dxa" w:w="15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
            </w:r>
          </w:p>
        </w:tc>
        <w:tc>
          <w:tcPr>
            <w:tcW w:type="dxa" w:w="28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Vocational</w:t>
            </w:r>
          </w:p>
        </w:tc>
        <w:tc>
          <w:tcPr>
            <w:tcW w:type="dxa" w:w="29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Applied</w:t>
            </w:r>
          </w:p>
        </w:tc>
        <w:tc>
          <w:tcPr>
            <w:tcW w:type="dxa" w:w="27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Academic</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Language</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B1, short sentences</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 up to about 25 words per sentence</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B2/C1, discipline terms</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Case</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internship and workplace situations, close to home</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professional case with several stakeholders</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case with a system or policy level</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Weighing</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intuition plus one question per step</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at least two ethical perspectives</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name and critique theories explicitly</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Reflection</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what did I do, what will I do next time</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a reasoned professional choice</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justification with literature</w:t>
            </w:r>
          </w:p>
        </w:tc>
      </w:tr>
    </w:tbl>
    <w:p>
      <w:pPr>
        <w:spacing w:after="40" w:before="0"/>
      </w:pPr>
      <w:r>
        <w:rPr>
          <w:rFonts w:ascii="Arial" w:cs="Arial" w:eastAsia="Arial" w:hAnsi="Arial"/>
          <w:sz w:val="10"/>
          <w:szCs w:val="10"/>
        </w:rPr>
        <w:t xml:space="preserve"/>
      </w:r>
    </w:p>
    <w:p>
      <w:pPr>
        <w:spacing w:after="80" w:before="0" w:line="264"/>
      </w:pPr>
      <w:r>
        <w:rPr>
          <w:rFonts w:ascii="Arial" w:cs="Arial" w:eastAsia="Arial" w:hAnsi="Arial"/>
          <w:sz w:val="19"/>
          <w:szCs w:val="19"/>
        </w:rPr>
        <w:t xml:space="preserve">For this method: with vocational students work with one part per question and short sentences; with academic students let the group link the plea to literature on the rule of law, governance or whistleblowing.</w:t>
      </w:r>
    </w:p>
    <w:p>
      <w:pPr>
        <w:keepNext/>
        <w:pBdr>
          <w:bottom w:val="single" w:color="5B2D8E" w:sz="8" w:space="2"/>
        </w:pBdr>
        <w:spacing w:after="90" w:before="200"/>
      </w:pPr>
      <w:r>
        <w:rPr>
          <w:rFonts w:ascii="Arial" w:cs="Arial" w:eastAsia="Arial" w:hAnsi="Arial"/>
          <w:b/>
          <w:bCs/>
          <w:color w:val="5B2D8E"/>
          <w:spacing w:val="30"/>
          <w:sz w:val="20"/>
          <w:szCs w:val="20"/>
        </w:rPr>
        <w:t xml:space="preserve">SOURCES (APA 7)</w:t>
      </w:r>
    </w:p>
    <w:p>
      <w:pPr>
        <w:spacing w:after="50" w:before="0" w:line="252"/>
        <w:ind w:left="360" w:hanging="360"/>
      </w:pPr>
      <w:r>
        <w:rPr>
          <w:rFonts w:ascii="Arial" w:cs="Arial" w:eastAsia="Arial" w:hAnsi="Arial"/>
          <w:color w:val="5F5E5A"/>
          <w:sz w:val="18"/>
          <w:szCs w:val="18"/>
        </w:rPr>
        <w:t xml:space="preserve">Creative Commons. (n.d.). </w:t>
      </w:r>
      <w:r>
        <w:rPr>
          <w:rFonts w:ascii="Arial" w:cs="Arial" w:eastAsia="Arial" w:hAnsi="Arial"/>
          <w:i/>
          <w:iCs/>
          <w:color w:val="5F5E5A"/>
          <w:sz w:val="18"/>
          <w:szCs w:val="18"/>
        </w:rPr>
        <w:t xml:space="preserve">About CC licenses</w:t>
      </w:r>
      <w:r>
        <w:rPr>
          <w:rFonts w:ascii="Arial" w:cs="Arial" w:eastAsia="Arial" w:hAnsi="Arial"/>
          <w:color w:val="5F5E5A"/>
          <w:sz w:val="18"/>
          <w:szCs w:val="18"/>
        </w:rPr>
        <w:t xml:space="preserve">. https://creativecommons.org/share-your-work/cclicenses/</w:t>
      </w:r>
    </w:p>
    <w:p>
      <w:pPr>
        <w:spacing w:after="50" w:before="0" w:line="252"/>
        <w:ind w:left="360" w:hanging="360"/>
      </w:pPr>
      <w:r>
        <w:rPr>
          <w:rFonts w:ascii="Arial" w:cs="Arial" w:eastAsia="Arial" w:hAnsi="Arial"/>
          <w:color w:val="5F5E5A"/>
          <w:sz w:val="18"/>
          <w:szCs w:val="18"/>
        </w:rPr>
        <w:t xml:space="preserve">Lichtheim, M. (1973). </w:t>
      </w:r>
      <w:r>
        <w:rPr>
          <w:rFonts w:ascii="Arial" w:cs="Arial" w:eastAsia="Arial" w:hAnsi="Arial"/>
          <w:i/>
          <w:iCs/>
          <w:color w:val="5F5E5A"/>
          <w:sz w:val="18"/>
          <w:szCs w:val="18"/>
        </w:rPr>
        <w:t xml:space="preserve">Ancient Egyptian literature: Vol. 1. The Old and Middle Kingdoms</w:t>
      </w:r>
      <w:r>
        <w:rPr>
          <w:rFonts w:ascii="Arial" w:cs="Arial" w:eastAsia="Arial" w:hAnsi="Arial"/>
          <w:color w:val="5F5E5A"/>
          <w:sz w:val="18"/>
          <w:szCs w:val="18"/>
        </w:rPr>
        <w:t xml:space="preserve">. University of California Press.</w:t>
      </w:r>
    </w:p>
    <w:p>
      <w:pPr>
        <w:spacing w:after="50" w:before="0" w:line="252"/>
        <w:ind w:left="360" w:hanging="360"/>
      </w:pPr>
      <w:r>
        <w:rPr>
          <w:rFonts w:ascii="Arial" w:cs="Arial" w:eastAsia="Arial" w:hAnsi="Arial"/>
          <w:color w:val="5F5E5A"/>
          <w:sz w:val="18"/>
          <w:szCs w:val="18"/>
        </w:rPr>
        <w:t xml:space="preserve">Meijer, K. M. T. (2023). </w:t>
      </w:r>
      <w:r>
        <w:rPr>
          <w:rFonts w:ascii="Arial" w:cs="Arial" w:eastAsia="Arial" w:hAnsi="Arial"/>
          <w:i/>
          <w:iCs/>
          <w:color w:val="5F5E5A"/>
          <w:sz w:val="18"/>
          <w:szCs w:val="18"/>
        </w:rPr>
        <w:t xml:space="preserve">Impossible and inevitable: Reconstructing the critique of business ethics</w:t>
      </w:r>
      <w:r>
        <w:rPr>
          <w:rFonts w:ascii="Arial" w:cs="Arial" w:eastAsia="Arial" w:hAnsi="Arial"/>
          <w:color w:val="5F5E5A"/>
          <w:sz w:val="18"/>
          <w:szCs w:val="18"/>
        </w:rPr>
        <w:t xml:space="preserve"> [Doctoral dissertation, Tilburg University]. Ridderprint. https://research.tilburguniversity.edu/en/publications/impossible-and-inevitable-reconstructing-the-critique-of-business/</w:t>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Method inspired by: The Eloquent Peasant (ancient Egypt, Middle Kingdom); see Lichtheim (1973). Adaptation and case: Moreel Vakmanschap, moreelvakmanschap.nl. Licence: CC BY-SA 4.0 – https://creativecommons.org/licenses/by-sa/4.0/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PROFESSORSHIP ETHICAL WORK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MW53 Knocking nine times (Government (municipality), EN)</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