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MW53</w:t>
            </w:r>
          </w:p>
          <w:p>
            <w:pPr>
              <w:spacing w:after="40" w:before="0" w:line="250"/>
            </w:pPr>
            <w:r>
              <w:rPr>
                <w:rFonts w:ascii="Arial" w:cs="Arial" w:eastAsia="Arial" w:hAnsi="Arial"/>
                <w:b/>
                <w:bCs/>
                <w:color w:val="FFFFFF"/>
                <w:sz w:val="34"/>
                <w:szCs w:val="34"/>
              </w:rPr>
              <w:t xml:space="preserve">Negen keer aankloppen</w:t>
            </w:r>
          </w:p>
          <w:p>
            <w:pPr>
              <w:spacing w:after="0" w:before="0"/>
            </w:pPr>
            <w:r>
              <w:rPr>
                <w:rFonts w:ascii="Arial" w:cs="Arial" w:eastAsia="Arial" w:hAnsi="Arial"/>
                <w:color w:val="DDE6F0"/>
                <w:sz w:val="19"/>
                <w:szCs w:val="19"/>
              </w:rPr>
              <w:t xml:space="preserve">Geschikt voor: MBO · HBO · WO · Overheid (gemeente)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MACRO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pleidooi opstellen met feiten, waarde en concrete vraag. (Handelen)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kiezen tussen bezwaar, melding en klokkenluiden en die keuze onderbouwen. (Handelen)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plan maken om vol te houden als er niet direct wordt gereageerd.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MACRO?</w:t>
      </w:r>
    </w:p>
    <w:p>
      <w:pPr>
        <w:spacing w:after="60" w:before="0" w:line="264"/>
      </w:pPr>
      <w:r>
        <w:rPr>
          <w:rFonts w:ascii="Arial" w:cs="Arial" w:eastAsia="Arial" w:hAnsi="Arial"/>
          <w:b/>
          <w:bCs/>
          <w:sz w:val="20"/>
          <w:szCs w:val="20"/>
        </w:rPr>
        <w:t xml:space="preserve">Macro: de kern ligt bij een landelijke regel en een foutief systeem, buiten het bereik van Jamila of de gemeente.</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landelijke regeling en de koppeling tussen systemen. Dat is Macro.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de gemeente kan de regel niet aanpassen en de organisatiecultuur is niet de oorzaak.</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regeling in deze casus is fictief; er wordt geen echte wet of instantie bedoeld.</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eventueel voorbeeldformulieren voor bezwaar en meldpunten van de eigen organisatie.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laat de groep zowel de individuele stappen als het systeemniveau bespreken. Vermijd politieke stellingnames.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geen echte inwoners, instanties of regelingen noemen.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Het oud-Egyptische verhaal wordt vertaald door onder meer Lichtheim (1973). De originele tekst is publiek domein, maar moderne vertalingen zijn dat niet. Dit werkblad gebruikt daarom een eigen hervertelling.</w:t>
      </w:r>
    </w:p>
    <w:p>
      <w:pPr>
        <w:spacing w:after="60" w:before="0" w:line="264"/>
      </w:pPr>
      <w:r>
        <w:rPr>
          <w:rFonts w:ascii="Arial" w:cs="Arial" w:eastAsia="Arial" w:hAnsi="Arial"/>
          <w:sz w:val="20"/>
          <w:szCs w:val="20"/>
        </w:rPr>
        <w:t xml:space="preserve">Bespreek dat het verhaal ook vragen oproept: de functionaris laat de boer bewust wachten. Rechtvaardige instituties horen niet af te hangen van de welsprekendheid van wie klopt. Koppel dit aan MW16 (stem geven aan waarden) en aan de vraag wie niet kan spreken zoals de boer.</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pleidooi wordt een klacht zonder concrete vraag. Vraag: wat wil je dat er gebeurt?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groep concludeert dat “het systeem” schuldig is en niemand iets kan doen. Vraag: wat kan wél binnen je rol?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Politieke discussie over echte regelingen. Breng het terug naar de fictieve casus.</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is het concrete verzoek in je pleidooi?”</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vorm past: bezwaar, melding of klokkenluiden, en waarom?”</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doe je als er niet wordt gereageerd?”</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kun je erbij betrekken om dit vol te houden?”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(45 min): </w:t>
      </w:r>
      <w:r>
        <w:rPr>
          <w:rFonts w:ascii="Arial" w:cs="Arial" w:eastAsia="Arial" w:hAnsi="Arial"/>
          <w:sz w:val="20"/>
          <w:szCs w:val="20"/>
        </w:rPr>
        <w:t xml:space="preserve">schrijf één pleidooi in plaats van uitwisselen in groepjes.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werk met een gedeeld document en wissel pleidooien uit in tweetallen.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laat groepjes een gezamenlijk pleidooi schrijven.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een echte meldprocedure van hun eigen organisatie opzoeken en vergelijken.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één onderdeel per vraag en korte zinnen; bij WO laat je de groep het pleidooi koppelen aan literatuur over rechtsstaat, bestuur of klokkenluiden.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Lichtheim, M. (1973). </w:t>
      </w:r>
      <w:r>
        <w:rPr>
          <w:rFonts w:ascii="Arial" w:cs="Arial" w:eastAsia="Arial" w:hAnsi="Arial"/>
          <w:i/>
          <w:iCs/>
          <w:color w:val="5F5E5A"/>
          <w:sz w:val="18"/>
          <w:szCs w:val="18"/>
        </w:rPr>
        <w:t xml:space="preserve">Ancient Egyptian literature: Vol. 1. The Old and Middle Kingdoms</w:t>
      </w:r>
      <w:r>
        <w:rPr>
          <w:rFonts w:ascii="Arial" w:cs="Arial" w:eastAsia="Arial" w:hAnsi="Arial"/>
          <w:color w:val="5F5E5A"/>
          <w:sz w:val="18"/>
          <w:szCs w:val="18"/>
        </w:rPr>
        <w:t xml:space="preserve">. University of California Press.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welsprekende boer (oud-Egypte, Middenrijk); zie Lichtheim (1973).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MW53 Negen keer aankloppen (Overheid (gemeente),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