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OPDRACHT MW53 — DE WELSPREKENDE BOER · OVERHEID (GEMEENTE)</w:t>
            </w:r>
          </w:p>
          <w:p>
            <w:pPr>
              <w:spacing w:after="40" w:before="0" w:line="250"/>
            </w:pPr>
            <w:r>
              <w:rPr>
                <w:rFonts w:ascii="Arial" w:cs="Arial" w:eastAsia="Arial" w:hAnsi="Arial"/>
                <w:b/>
                <w:bCs/>
                <w:color w:val="FFFFFF"/>
                <w:sz w:val="34"/>
                <w:szCs w:val="34"/>
              </w:rPr>
              <w:t xml:space="preserve">Negen keer aankloppen</w:t>
            </w:r>
          </w:p>
          <w:p>
            <w:pPr>
              <w:spacing w:after="0" w:before="0"/>
            </w:pPr>
            <w:r>
              <w:rPr>
                <w:rFonts w:ascii="Arial" w:cs="Arial" w:eastAsia="Arial" w:hAnsi="Arial"/>
                <w:color w:val="DDE6F0"/>
                <w:sz w:val="19"/>
                <w:szCs w:val="19"/>
              </w:rPr>
              <w:t xml:space="preserve">Casus: een inwoner, een loket en een landelijke regel</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MACRO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1D9E75" w:color="auto" w:val="clear"/>
        </w:rPr>
        <w:t xml:space="preserve"> HANDELEN </w:t>
      </w:r>
      <w:r>
        <w:rPr>
          <w:rFonts w:ascii="Arial" w:cs="Arial" w:eastAsia="Arial" w:hAnsi="Arial"/>
          <w:sz w:val="17"/>
          <w:szCs w:val="17"/>
        </w:rPr>
        <w:t xml:space="preserve">  </w:t>
      </w:r>
      <w:r>
        <w:rPr>
          <w:rFonts w:ascii="Arial" w:cs="Arial" w:eastAsia="Arial" w:hAnsi="Arial"/>
          <w:b/>
          <w:bCs/>
          <w:color w:val="FFFFFF"/>
          <w:sz w:val="17"/>
          <w:szCs w:val="17"/>
          <w:shd w:fill="E8735A" w:color="auto" w:val="clear"/>
        </w:rPr>
        <w:t xml:space="preserve"> VOLHOUDEN </w:t>
      </w:r>
      <w:r>
        <w:rPr>
          <w:rFonts w:ascii="Arial" w:cs="Arial" w:eastAsia="Arial" w:hAnsi="Arial"/>
          <w:sz w:val="17"/>
          <w:szCs w:val="17"/>
        </w:rPr>
        <w:t xml:space="preserve">  </w:t>
      </w:r>
      <w:r>
        <w:rPr>
          <w:rFonts w:ascii="Arial" w:cs="Arial" w:eastAsia="Arial" w:hAnsi="Arial"/>
          <w:color w:val="5F5E5A"/>
          <w:sz w:val="17"/>
          <w:szCs w:val="17"/>
        </w:rPr>
        <w:t xml:space="preserve">Duur: </w:t>
      </w:r>
      <w:r>
        <w:rPr>
          <w:rFonts w:ascii="Arial" w:cs="Arial" w:eastAsia="Arial" w:hAnsi="Arial"/>
          <w:b/>
          <w:bCs/>
          <w:sz w:val="17"/>
          <w:szCs w:val="17"/>
        </w:rPr>
        <w:t xml:space="preserve">45–60 min</w:t>
      </w:r>
      <w:r>
        <w:rPr>
          <w:rFonts w:ascii="Arial" w:cs="Arial" w:eastAsia="Arial" w:hAnsi="Arial"/>
          <w:sz w:val="17"/>
          <w:szCs w:val="17"/>
        </w:rPr>
        <w:t xml:space="preserve">   </w:t>
      </w:r>
      <w:r>
        <w:rPr>
          <w:rFonts w:ascii="Arial" w:cs="Arial" w:eastAsia="Arial" w:hAnsi="Arial"/>
          <w:color w:val="5F5E5A"/>
          <w:sz w:val="17"/>
          <w:szCs w:val="17"/>
        </w:rPr>
        <w:t xml:space="preserve">Groep: </w:t>
      </w:r>
      <w:r>
        <w:rPr>
          <w:rFonts w:ascii="Arial" w:cs="Arial" w:eastAsia="Arial" w:hAnsi="Arial"/>
          <w:b/>
          <w:bCs/>
          <w:sz w:val="17"/>
          <w:szCs w:val="17"/>
        </w:rPr>
        <w:t xml:space="preserve">6–30 deelnemers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Geschikt voor: </w:t>
      </w:r>
      <w:r>
        <w:rPr>
          <w:rFonts w:ascii="Arial" w:cs="Arial" w:eastAsia="Arial" w:hAnsi="Arial"/>
          <w:b/>
          <w:bCs/>
          <w:sz w:val="17"/>
          <w:szCs w:val="17"/>
        </w:rPr>
        <w:t xml:space="preserve">MBO · HBO · WO</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53-OVERHEID-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In een oud Egyptisch verhaal wordt een boer beroofd door een ambtenaar. Hij gaat naar een hoge functionaris en houdt negen keer een pleidooi voor recht. De functionaris laat hem bewust wachten, omdat hij zijn woorden mooi vindt. De boer geeft niet op. Uiteindelijk krijgt hij recht. De vraag is: wat vraagt het om een machtige te blijven aanspreken, en wat zegt het over het systeem waarin dat nodig is?</w:t>
            </w:r>
          </w:p>
          <w:p>
            <w:pPr>
              <w:spacing w:after="100" w:before="0" w:line="288"/>
            </w:pPr>
            <w:r>
              <w:rPr>
                <w:rFonts w:ascii="Arial" w:cs="Arial" w:eastAsia="Arial" w:hAnsi="Arial"/>
                <w:sz w:val="21"/>
                <w:szCs w:val="21"/>
              </w:rPr>
              <w:t xml:space="preserve">Jamila werkt aan het loket van een gemeente. Mevrouw Visser (67) komt elke week terug. Haar uitkering is stopgezet door een fout in een landelijke koppeling tussen systemen. Volgens de wet moet zij het bedrag terugbetalen tot de fout is onderzocht. De gemeente kan niets veranderen aan de regel. Jamila kan alleen doorverwijzen.</w:t>
            </w:r>
          </w:p>
          <w:p>
            <w:pPr>
              <w:spacing w:after="100" w:before="0" w:line="288"/>
            </w:pPr>
            <w:r>
              <w:rPr>
                <w:rFonts w:ascii="Arial" w:cs="Arial" w:eastAsia="Arial" w:hAnsi="Arial"/>
                <w:sz w:val="21"/>
                <w:szCs w:val="21"/>
              </w:rPr>
              <w:t xml:space="preserve">Mevrouw Visser spreekt rustig en goed. “Ik vraag alleen om gehoord te worden,” zegt ze. “Het systeem zegt iets wat niet klopt.” Jamila ziet dat het niet aan haar liggen. Toch voelt ze dat doorverwijzen niet genoeg is. Haar collega’s zeggen: “Je kunt hier niets aan doen. Houd je aan de regel.”</w:t>
            </w:r>
          </w:p>
          <w:p>
            <w:pPr>
              <w:spacing w:after="40" w:before="0" w:line="288"/>
            </w:pPr>
            <w:r>
              <w:rPr>
                <w:rFonts w:ascii="Arial" w:cs="Arial" w:eastAsia="Arial" w:hAnsi="Arial"/>
                <w:b/>
                <w:bCs/>
                <w:sz w:val="21"/>
                <w:szCs w:val="21"/>
              </w:rPr>
              <w:t xml:space="preserve">Wat kan Jamila doen binnen haar rol, en wat vraagt om verandering op een hoger niveau?</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DE WERKWIJZE</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Lees de hervertelling en de casus. Wie heeft hier macht, en wie niet?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Bespreek in tweetallen: waarom laat de functionaris de boer wachten, en waarom blijft de boer terugkomen?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Schrijf je eigen pleidooi voor mevrouw Visser of voor Jamila. Kies de vorm: bezwaar, melding of klokkenluiden.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Lees je pleidooi voor in een groepje. De anderen noemen wat sterk is en wat ontbreekt.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Maak een volhoudplan: wat doe je als niemand reageert? Wie kun je erbij betrekken? </w:t>
      </w:r>
      <w:r>
        <w:rPr>
          <w:rFonts w:ascii="Arial" w:cs="Arial" w:eastAsia="Arial" w:hAnsi="Arial"/>
          <w:i/>
          <w:iCs/>
          <w:color w:val="5F5E5A"/>
          <w:sz w:val="18"/>
          <w:szCs w:val="18"/>
        </w:rPr>
        <w:t xml:space="preserve">(10 min)</w:t>
      </w:r>
    </w:p>
    <w:p>
      <w:pPr>
        <w:keepNext/>
        <w:spacing w:after="40" w:before="120"/>
      </w:pPr>
      <w:r>
        <w:rPr>
          <w:rFonts w:ascii="Arial" w:cs="Arial" w:eastAsia="Arial" w:hAnsi="Arial"/>
          <w:b/>
          <w:bCs/>
          <w:sz w:val="19"/>
          <w:szCs w:val="19"/>
        </w:rPr>
        <w:t xml:space="preserve">MIJN PLEIDOOI</w:t>
      </w:r>
    </w:p>
    <w:tbl>
      <w:tblPr>
        <w:tblW w:type="dxa" w:w="9906"/>
        <w:tblLayout w:type="fixed"/>
      </w:tblPr>
      <w:tblGrid>
        <w:gridCol w:w="2900"/>
        <w:gridCol w:w="7006"/>
      </w:tblGrid>
      <w:tr>
        <w:trPr>
          <w:cantSplit/>
          <w:tblHeader/>
        </w:trPr>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Onderdeel</w:t>
            </w:r>
          </w:p>
        </w:tc>
        <w:tc>
          <w:tcPr>
            <w:tcW w:type="dxa" w:w="70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Mijn tekst</w:t>
            </w:r>
          </w:p>
        </w:tc>
      </w:tr>
      <w:tr>
        <w:trPr>
          <w:cantSplit/>
          <w:trHeight w:val="760" w:hRule="atLeast"/>
        </w:trPr>
        <w:tc>
          <w:tcPr>
            <w:tcW w:type="dxa" w:w="29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Aan wie richt ik me?</w:t>
            </w:r>
          </w:p>
        </w:tc>
        <w:tc>
          <w:tcPr>
            <w:tcW w:type="dxa" w:w="7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60" w:hRule="atLeast"/>
        </w:trPr>
        <w:tc>
          <w:tcPr>
            <w:tcW w:type="dxa" w:w="29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Wat is er gebeurd? (feiten)</w:t>
            </w:r>
          </w:p>
        </w:tc>
        <w:tc>
          <w:tcPr>
            <w:tcW w:type="dxa" w:w="7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60" w:hRule="atLeast"/>
        </w:trPr>
        <w:tc>
          <w:tcPr>
            <w:tcW w:type="dxa" w:w="29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Welk recht of welke waarde staat op het spel?</w:t>
            </w:r>
          </w:p>
        </w:tc>
        <w:tc>
          <w:tcPr>
            <w:tcW w:type="dxa" w:w="7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60" w:hRule="atLeast"/>
        </w:trPr>
        <w:tc>
          <w:tcPr>
            <w:tcW w:type="dxa" w:w="29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Wat vraag ik concreet?</w:t>
            </w:r>
          </w:p>
        </w:tc>
        <w:tc>
          <w:tcPr>
            <w:tcW w:type="dxa" w:w="7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MIJN VOLHOUDPLAN</w:t>
      </w:r>
    </w:p>
    <w:tbl>
      <w:tblPr>
        <w:tblW w:type="dxa" w:w="9906"/>
        <w:tblLayout w:type="fixed"/>
      </w:tblPr>
      <w:tblGrid>
        <w:gridCol w:w="3800"/>
        <w:gridCol w:w="6106"/>
      </w:tblGrid>
      <w:tr>
        <w:trPr>
          <w:cantSplit/>
          <w:tblHeader/>
        </w:trPr>
        <w:tc>
          <w:tcPr>
            <w:tcW w:type="dxa" w:w="3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Als niemand reageert …</w:t>
            </w:r>
          </w:p>
        </w:tc>
        <w:tc>
          <w:tcPr>
            <w:tcW w:type="dxa" w:w="61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Wat doe ik?</w:t>
            </w:r>
          </w:p>
        </w:tc>
      </w:tr>
      <w:tr>
        <w:trPr>
          <w:cantSplit/>
          <w:trHeight w:val="640" w:hRule="atLeast"/>
        </w:trPr>
        <w:tc>
          <w:tcPr>
            <w:tcW w:type="dxa" w:w="38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Na één week</w:t>
            </w:r>
          </w:p>
        </w:tc>
        <w:tc>
          <w:tcPr>
            <w:tcW w:type="dxa" w:w="6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8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Na één maand</w:t>
            </w:r>
          </w:p>
        </w:tc>
        <w:tc>
          <w:tcPr>
            <w:tcW w:type="dxa" w:w="6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8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Wie kan ik erbij betrekken?</w:t>
            </w:r>
          </w:p>
        </w:tc>
        <w:tc>
          <w:tcPr>
            <w:tcW w:type="dxa" w:w="6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1D9E75" w:color="auto" w:val="clear"/>
        </w:rPr>
        <w:t xml:space="preserve"> HANDELEN </w:t>
      </w:r>
      <w:r>
        <w:rPr>
          <w:rFonts w:ascii="Arial" w:cs="Arial" w:eastAsia="Arial" w:hAnsi="Arial"/>
          <w:sz w:val="20"/>
          <w:szCs w:val="20"/>
        </w:rPr>
        <w:t xml:space="preserve">  Welke vorm kies je om je zorg uit te spreken: bezwaar, melding of klokkenluiden? Waarom?</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E8735A" w:color="auto" w:val="clear"/>
        </w:rPr>
        <w:t xml:space="preserve"> VOLHOUDEN </w:t>
      </w:r>
      <w:r>
        <w:rPr>
          <w:rFonts w:ascii="Arial" w:cs="Arial" w:eastAsia="Arial" w:hAnsi="Arial"/>
          <w:sz w:val="20"/>
          <w:szCs w:val="20"/>
        </w:rPr>
        <w:t xml:space="preserve">  Wat helpt je om aan te blijven kloppen als niemand reageert?</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WAAR KOMT DEZE WERKVORM VANDAAN?</w:t>
            </w:r>
          </w:p>
          <w:p>
            <w:pPr>
              <w:spacing w:after="40" w:before="0" w:line="264"/>
            </w:pPr>
            <w:r>
              <w:rPr>
                <w:rFonts w:ascii="Arial" w:cs="Arial" w:eastAsia="Arial" w:hAnsi="Arial"/>
                <w:sz w:val="19"/>
                <w:szCs w:val="19"/>
              </w:rPr>
              <w:t xml:space="preserve">“De welsprekende boer” is een oud-Egyptisch verhaal uit het Middenrijk (ongeveer vier duizend jaar oud). Het gaat over rechtvaardigheid en over de moed om een machtige aan te spreken. Dit werkblad is een eigen hervertelling met een eigen casus. Het gaat niet om de religieuze of politieke context van het oude verhaal.</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De welsprekende boer (oud-Egypte, Middenrijk); zie Lichtheim (1973).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MW53 Negen keer aankloppen (Overheid (gemeente),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