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Layout w:type="fixed"/>
      </w:tblPr>
      <w:tblGrid>
        <w:gridCol w:w="7300"/>
        <w:gridCol w:w="2606"/>
      </w:tblGrid>
      <w:tr>
        <w:trPr>
          <w:cantSplit/>
        </w:trPr>
        <w:tc>
          <w:tcPr>
            <w:tcW w:type="dxa" w:w="7300"/>
            <w:tcBorders>
              <w:top w:val="none" w:color="FFFFFF" w:sz="0"/>
              <w:left w:val="none" w:color="FFFFFF" w:sz="0"/>
              <w:bottom w:val="single" w:color="D4A373" w:sz="24"/>
              <w:right w:val="none" w:color="FFFFFF" w:sz="0"/>
            </w:tcBorders>
            <w:shd w:fill="3F5E5A" w:color="auto" w:val="clear"/>
            <w:tcMar>
              <w:top w:type="dxa" w:w="140"/>
              <w:left w:type="dxa" w:w="220"/>
              <w:bottom w:type="dxa" w:w="140"/>
              <w:right w:type="dxa" w:w="120"/>
            </w:tcMar>
          </w:tcPr>
          <w:p>
            <w:pPr>
              <w:spacing w:after="40" w:before="0"/>
            </w:pPr>
            <w:r>
              <w:rPr>
                <w:rFonts w:ascii="Arial" w:cs="Arial" w:eastAsia="Arial" w:hAnsi="Arial"/>
                <w:b/>
                <w:bCs/>
                <w:color w:val="F3C98B"/>
                <w:spacing w:val="30"/>
                <w:sz w:val="16"/>
                <w:szCs w:val="16"/>
              </w:rPr>
              <w:t xml:space="preserve">DOCENTENVERSIE · MW56</w:t>
            </w:r>
          </w:p>
          <w:p>
            <w:pPr>
              <w:spacing w:after="40" w:before="0" w:line="250"/>
            </w:pPr>
            <w:r>
              <w:rPr>
                <w:rFonts w:ascii="Arial" w:cs="Arial" w:eastAsia="Arial" w:hAnsi="Arial"/>
                <w:b/>
                <w:bCs/>
                <w:color w:val="FFFFFF"/>
                <w:sz w:val="34"/>
                <w:szCs w:val="34"/>
              </w:rPr>
              <w:t xml:space="preserve">Een kleine fout in het proces-verbaal</w:t>
            </w:r>
          </w:p>
          <w:p>
            <w:pPr>
              <w:spacing w:after="0" w:before="0"/>
            </w:pPr>
            <w:r>
              <w:rPr>
                <w:rFonts w:ascii="Arial" w:cs="Arial" w:eastAsia="Arial" w:hAnsi="Arial"/>
                <w:color w:val="DDE6F0"/>
                <w:sz w:val="19"/>
                <w:szCs w:val="19"/>
              </w:rPr>
              <w:t xml:space="preserve">Geschikt voor: MBO · HBO · WO · Politie · Nederlands · bij de studentenversie</w:t>
            </w:r>
          </w:p>
        </w:tc>
        <w:tc>
          <w:tcPr>
            <w:tcW w:type="dxa" w:w="2606"/>
            <w:tcBorders>
              <w:top w:val="none" w:color="FFFFFF" w:sz="0"/>
              <w:left w:val="none" w:color="FFFFFF" w:sz="0"/>
              <w:bottom w:val="single" w:color="D4A373" w:sz="24"/>
              <w:right w:val="none" w:color="FFFFFF" w:sz="0"/>
            </w:tcBorders>
            <w:shd w:fill="993556" w:color="auto" w:val="clear"/>
            <w:tcMar>
              <w:top w:type="dxa" w:w="100"/>
              <w:left w:type="dxa" w:w="100"/>
              <w:bottom w:type="dxa" w:w="100"/>
              <w:right w:type="dxa" w:w="100"/>
            </w:tcMar>
            <w:vAlign w:val="center"/>
          </w:tcPr>
          <w:p>
            <w:pPr>
              <w:spacing w:after="30" w:before="0"/>
              <w:jc w:val="center"/>
            </w:pPr>
            <w:r>
              <w:rPr>
                <w:rFonts w:ascii="Arial" w:cs="Arial" w:eastAsia="Arial" w:hAnsi="Arial"/>
                <w:b/>
                <w:bCs/>
                <w:color w:val="F5D9E2"/>
                <w:spacing w:val="30"/>
                <w:sz w:val="14"/>
                <w:szCs w:val="14"/>
              </w:rPr>
              <w:t xml:space="preserve">COMPLEXITEIT</w:t>
            </w:r>
          </w:p>
          <w:p>
            <w:pPr>
              <w:spacing w:after="0" w:before="0"/>
              <w:jc w:val="center"/>
            </w:pPr>
            <w:r>
              <w:rPr>
                <w:rFonts w:ascii="Arial" w:cs="Arial" w:eastAsia="Arial" w:hAnsi="Arial"/>
                <w:b/>
                <w:bCs/>
                <w:color w:val="FFFFFF"/>
                <w:sz w:val="26"/>
                <w:szCs w:val="26"/>
              </w:rPr>
              <w:t xml:space="preserve">MICRO ★☆☆</w:t>
            </w:r>
          </w:p>
        </w:tc>
      </w:tr>
    </w:tbl>
    <w:p>
      <w:pPr>
        <w:spacing w:after="40" w:before="0"/>
      </w:pPr>
      <w:r>
        <w:rPr>
          <w:rFonts w:ascii="Arial" w:cs="Arial" w:eastAsia="Arial" w:hAnsi="Arial"/>
          <w:sz w:val="10"/>
          <w:szCs w:val="10"/>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LEERUITKOMSTEN</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De deelnemer kan deugden van een goede professional omschrijven in eigen woorden. (Voelen)</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De deelnemer kan zichzelf eerlijk beoordelen op die deugden en één voorbeeld geven. (Voelen)</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De deelnemer kan één deugd kiezen om te oefenen en dat omzetten in een concrete handeling. (Volhouden)</w:t>
      </w:r>
    </w:p>
    <w:p>
      <w:pPr>
        <w:keepNext/>
        <w:pBdr>
          <w:bottom w:val="single" w:color="5B2D8E" w:sz="8" w:space="2"/>
        </w:pBdr>
        <w:spacing w:after="90" w:before="200"/>
      </w:pPr>
      <w:r>
        <w:rPr>
          <w:rFonts w:ascii="Arial" w:cs="Arial" w:eastAsia="Arial" w:hAnsi="Arial"/>
          <w:b/>
          <w:bCs/>
          <w:color w:val="5B2D8E"/>
          <w:spacing w:val="30"/>
          <w:sz w:val="20"/>
          <w:szCs w:val="20"/>
        </w:rPr>
        <w:t xml:space="preserve">COMPLEXITEIT: WAAROM MICRO?</w:t>
      </w:r>
    </w:p>
    <w:p>
      <w:pPr>
        <w:spacing w:after="60" w:before="0" w:line="264"/>
      </w:pPr>
      <w:r>
        <w:rPr>
          <w:rFonts w:ascii="Arial" w:cs="Arial" w:eastAsia="Arial" w:hAnsi="Arial"/>
          <w:b/>
          <w:bCs/>
          <w:sz w:val="20"/>
          <w:szCs w:val="20"/>
        </w:rPr>
        <w:t xml:space="preserve">Micro: Dana beslist zelf of zij de fout corrigeert, en de spanning zit tussen twee persoonlijke waarden (eerlijkheid en het gemak van een goede verstandhouding met haar collega).</w:t>
      </w:r>
    </w:p>
    <w:p>
      <w:pPr>
        <w:spacing w:after="70" w:before="0"/>
      </w:pPr>
      <w:r>
        <w:rPr>
          <w:rFonts w:ascii="Arial" w:cs="Arial" w:eastAsia="Arial" w:hAnsi="Arial"/>
          <w:i/>
          <w:iCs/>
          <w:color w:val="5F5E5A"/>
          <w:sz w:val="15"/>
          <w:szCs w:val="15"/>
        </w:rPr>
        <w:t xml:space="preserve">Indeling volgens de driedeling micro – meso – macro (werkdefinitie Lectoraat Ethisch Werken, Fontys; geïnspireerd op het werk van Meijer, 2023).</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Toets: </w:t>
      </w:r>
      <w:r>
        <w:rPr>
          <w:rFonts w:ascii="Arial" w:cs="Arial" w:eastAsia="Arial" w:hAnsi="Arial"/>
          <w:sz w:val="20"/>
          <w:szCs w:val="20"/>
        </w:rPr>
        <w:t xml:space="preserve">“Wie of wat zou er moeten veranderen om dit dilemma te laten verdwijnen?” Antwoord: Dana’s eigen keuze. Dat is Micro.</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Niet Meso: </w:t>
      </w:r>
      <w:r>
        <w:rPr>
          <w:rFonts w:ascii="Arial" w:cs="Arial" w:eastAsia="Arial" w:hAnsi="Arial"/>
          <w:sz w:val="20"/>
          <w:szCs w:val="20"/>
        </w:rPr>
        <w:t xml:space="preserve">de teamcultuur en de opmerking van Ruud zijn achtergrond; er is geen regel die Dana’s keuze bepaalt (bij twijfel het laagste niveau).</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Let op: </w:t>
      </w:r>
      <w:r>
        <w:rPr>
          <w:rFonts w:ascii="Arial" w:cs="Arial" w:eastAsia="Arial" w:hAnsi="Arial"/>
          <w:sz w:val="20"/>
          <w:szCs w:val="20"/>
        </w:rPr>
        <w:t xml:space="preserve">de casus is fictief en gaat over geen enkel echt korps. Het is geen oordeel over de politie.</w:t>
      </w:r>
    </w:p>
    <w:p>
      <w:pPr>
        <w:keepNext/>
        <w:pBdr>
          <w:bottom w:val="single" w:color="5B2D8E" w:sz="8" w:space="2"/>
        </w:pBdr>
        <w:spacing w:after="90" w:before="200"/>
      </w:pPr>
      <w:r>
        <w:rPr>
          <w:rFonts w:ascii="Arial" w:cs="Arial" w:eastAsia="Arial" w:hAnsi="Arial"/>
          <w:b/>
          <w:bCs/>
          <w:color w:val="5B2D8E"/>
          <w:spacing w:val="30"/>
          <w:sz w:val="20"/>
          <w:szCs w:val="20"/>
        </w:rPr>
        <w:t xml:space="preserve">VOORBEREIDING EN VERLOOP</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Materiaal: </w:t>
      </w:r>
      <w:r>
        <w:rPr>
          <w:rFonts w:ascii="Arial" w:cs="Arial" w:eastAsia="Arial" w:hAnsi="Arial"/>
          <w:sz w:val="20"/>
          <w:szCs w:val="20"/>
        </w:rPr>
        <w:t xml:space="preserve">studentenversie, pennen.</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Rol van de begeleider: </w:t>
      </w:r>
      <w:r>
        <w:rPr>
          <w:rFonts w:ascii="Arial" w:cs="Arial" w:eastAsia="Arial" w:hAnsi="Arial"/>
          <w:sz w:val="20"/>
          <w:szCs w:val="20"/>
        </w:rPr>
        <w:t xml:space="preserve">leg uit dat de zelfscore een reflectie is en geen beoordeling. Delen is vrijwillig.</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Veiligheid: </w:t>
      </w:r>
      <w:r>
        <w:rPr>
          <w:rFonts w:ascii="Arial" w:cs="Arial" w:eastAsia="Arial" w:hAnsi="Arial"/>
          <w:sz w:val="20"/>
          <w:szCs w:val="20"/>
        </w:rPr>
        <w:t xml:space="preserve">werk met de fictieve casus en eigen, geanonimiseerde situaties. Noem geen herkenbare collega’s, zaken of burgers; verwijs door als een deelnemer signalen van persoonlijke nood laat zien.</w:t>
      </w:r>
    </w:p>
    <w:p>
      <w:pPr>
        <w:keepNext/>
        <w:pBdr>
          <w:bottom w:val="single" w:color="5B2D8E" w:sz="8" w:space="2"/>
        </w:pBdr>
        <w:spacing w:after="90" w:before="200"/>
      </w:pPr>
      <w:r>
        <w:rPr>
          <w:rFonts w:ascii="Arial" w:cs="Arial" w:eastAsia="Arial" w:hAnsi="Arial"/>
          <w:b/>
          <w:bCs/>
          <w:color w:val="5B2D8E"/>
          <w:spacing w:val="30"/>
          <w:sz w:val="20"/>
          <w:szCs w:val="20"/>
        </w:rPr>
        <w:t xml:space="preserve">HERKOMST EN ACHTERGROND</w:t>
      </w:r>
    </w:p>
    <w:p>
      <w:pPr>
        <w:spacing w:after="60" w:before="0" w:line="264"/>
      </w:pPr>
      <w:r>
        <w:rPr>
          <w:rFonts w:ascii="Arial" w:cs="Arial" w:eastAsia="Arial" w:hAnsi="Arial"/>
          <w:sz w:val="20"/>
          <w:szCs w:val="20"/>
        </w:rPr>
        <w:t xml:space="preserve">In de Yoruba-ethiek geldt goed karakter (ìwà) als het hoogste goed; de omoluabi belichaamt dat (Gbadegesin, 1991). Het begrip wordt in verschillende bronnen verschillend uitgewerkt, dus presenteer de vier deugden als uitgangspunt en niet als complete definitie.</w:t>
      </w:r>
    </w:p>
    <w:p>
      <w:pPr>
        <w:spacing w:after="60" w:before="0" w:line="264"/>
      </w:pPr>
      <w:r>
        <w:rPr>
          <w:rFonts w:ascii="Arial" w:cs="Arial" w:eastAsia="Arial" w:hAnsi="Arial"/>
          <w:sz w:val="20"/>
          <w:szCs w:val="20"/>
        </w:rPr>
        <w:t xml:space="preserve">Vergelijk het met de westerse deugdethiek, waarin karakter en gewoontevorming ook centraal staan. Bespreek wat overeenkomt en waar de nadruk verschilt, bijvoorbeeld de plaats van de gemeenschap. Het begrip omoluabi is hier een reflectiekader, geen praktijk die wordt nagedaan.</w:t>
      </w:r>
    </w:p>
    <w:p>
      <w:pPr>
        <w:keepNext/>
        <w:pBdr>
          <w:bottom w:val="single" w:color="5B2D8E" w:sz="8" w:space="2"/>
        </w:pBdr>
        <w:spacing w:after="90" w:before="200"/>
      </w:pPr>
      <w:r>
        <w:rPr>
          <w:rFonts w:ascii="Arial" w:cs="Arial" w:eastAsia="Arial" w:hAnsi="Arial"/>
          <w:b/>
          <w:bCs/>
          <w:color w:val="5B2D8E"/>
          <w:spacing w:val="30"/>
          <w:sz w:val="20"/>
          <w:szCs w:val="20"/>
        </w:rPr>
        <w:t xml:space="preserve">VALKUILEN</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Deelnemers scoren zichzelf sociaal wenselijk. Vraag om een concreet voorbeeld bij elke score.</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Het gesprek wordt een discussie over de politie in het algemeen. Breng het terug naar Dana’s keuze en het eigen beroep.</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De zelfscore voelt als een beoordeling. Benadruk dat het om oefenen gaat, niet om een cijfer.</w:t>
      </w:r>
    </w:p>
    <w:p>
      <w:pPr>
        <w:keepNext/>
        <w:pBdr>
          <w:bottom w:val="single" w:color="5B2D8E" w:sz="8" w:space="2"/>
        </w:pBdr>
        <w:spacing w:after="90" w:before="200"/>
      </w:pPr>
      <w:r>
        <w:rPr>
          <w:rFonts w:ascii="Arial" w:cs="Arial" w:eastAsia="Arial" w:hAnsi="Arial"/>
          <w:b/>
          <w:bCs/>
          <w:color w:val="5B2D8E"/>
          <w:spacing w:val="30"/>
          <w:sz w:val="20"/>
          <w:szCs w:val="20"/>
        </w:rPr>
        <w:t xml:space="preserve">VRAGEN DIE DE BEGELEIDER KAN STELLEN</w:t>
      </w:r>
    </w:p>
    <w:tbl>
      <w:tblPr>
        <w:tblW w:type="dxa" w:w="9906"/>
        <w:tblLayout w:type="fixed"/>
      </w:tblPr>
      <w:tblGrid>
        <w:gridCol w:w="1700"/>
        <w:gridCol w:w="8206"/>
      </w:tblGrid>
      <w:tr>
        <w:trPr>
          <w:cantSplit/>
          <w:tblHeader/>
        </w:trPr>
        <w:tc>
          <w:tcPr>
            <w:tcW w:type="dxa" w:w="17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Fase</w:t>
            </w:r>
          </w:p>
        </w:tc>
        <w:tc>
          <w:tcPr>
            <w:tcW w:type="dxa" w:w="8206"/>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Vraag</w:t>
            </w:r>
          </w:p>
        </w:tc>
      </w:tr>
      <w:tr>
        <w:trPr>
          <w:cantSplit/>
        </w:trPr>
        <w:tc>
          <w:tcPr>
            <w:tcW w:type="dxa" w:w="17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Voelen</w:t>
            </w:r>
          </w:p>
        </w:tc>
        <w:tc>
          <w:tcPr>
            <w:tcW w:type="dxa" w:w="82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“Wat voel je als je naar Dana’s moment kijkt?”</w:t>
            </w:r>
          </w:p>
        </w:tc>
      </w:tr>
      <w:tr>
        <w:trPr>
          <w:cantSplit/>
        </w:trPr>
        <w:tc>
          <w:tcPr>
            <w:tcW w:type="dxa" w:w="17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Voelen</w:t>
            </w:r>
          </w:p>
        </w:tc>
        <w:tc>
          <w:tcPr>
            <w:tcW w:type="dxa" w:w="82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“Op welke deugd scoor je jezelf het laagst, en wat zegt dat?”</w:t>
            </w:r>
          </w:p>
        </w:tc>
      </w:tr>
      <w:tr>
        <w:trPr>
          <w:cantSplit/>
        </w:trPr>
        <w:tc>
          <w:tcPr>
            <w:tcW w:type="dxa" w:w="17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Volhouden</w:t>
            </w:r>
          </w:p>
        </w:tc>
        <w:tc>
          <w:tcPr>
            <w:tcW w:type="dxa" w:w="82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“Wat help je jezelf te herinneren als niemand meekijkt?”</w:t>
            </w:r>
          </w:p>
        </w:tc>
      </w:tr>
      <w:tr>
        <w:trPr>
          <w:cantSplit/>
        </w:trPr>
        <w:tc>
          <w:tcPr>
            <w:tcW w:type="dxa" w:w="17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Volhouden</w:t>
            </w:r>
          </w:p>
        </w:tc>
        <w:tc>
          <w:tcPr>
            <w:tcW w:type="dxa" w:w="82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“Wie of wat helpt je om deze deugd deze maand te oefenen?”</w:t>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VARIATIES EN DIFFERENTIATIE</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Korter (30 min): </w:t>
      </w:r>
      <w:r>
        <w:rPr>
          <w:rFonts w:ascii="Arial" w:cs="Arial" w:eastAsia="Arial" w:hAnsi="Arial"/>
          <w:sz w:val="20"/>
          <w:szCs w:val="20"/>
        </w:rPr>
        <w:t xml:space="preserve">sla de vergelijking in groepjes over en werk individueel.</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Online: </w:t>
      </w:r>
      <w:r>
        <w:rPr>
          <w:rFonts w:ascii="Arial" w:cs="Arial" w:eastAsia="Arial" w:hAnsi="Arial"/>
          <w:sz w:val="20"/>
          <w:szCs w:val="20"/>
        </w:rPr>
        <w:t xml:space="preserve">gebruik een digitaal blad en deel alleen in een tweetal.</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Grote groep: </w:t>
      </w:r>
      <w:r>
        <w:rPr>
          <w:rFonts w:ascii="Arial" w:cs="Arial" w:eastAsia="Arial" w:hAnsi="Arial"/>
          <w:sz w:val="20"/>
          <w:szCs w:val="20"/>
        </w:rPr>
        <w:t xml:space="preserve">werk in groepjes van vier en laat per groepje één deugd terugkoppelen.</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Vervolg: </w:t>
      </w:r>
      <w:r>
        <w:rPr>
          <w:rFonts w:ascii="Arial" w:cs="Arial" w:eastAsia="Arial" w:hAnsi="Arial"/>
          <w:sz w:val="20"/>
          <w:szCs w:val="20"/>
        </w:rPr>
        <w:t xml:space="preserve">laat deelnemers na een maand terugkijken op hun gekozen deugd.</w:t>
      </w:r>
    </w:p>
    <w:p>
      <w:pPr>
        <w:spacing w:after="40" w:before="0"/>
      </w:pPr>
      <w:r>
        <w:rPr>
          <w:rFonts w:ascii="Arial" w:cs="Arial" w:eastAsia="Arial" w:hAnsi="Arial"/>
          <w:sz w:val="10"/>
          <w:szCs w:val="10"/>
        </w:rPr>
        <w:t xml:space="preserve"/>
      </w:r>
    </w:p>
    <w:tbl>
      <w:tblPr>
        <w:tblW w:type="dxa" w:w="9906"/>
        <w:tblLayout w:type="fixed"/>
      </w:tblPr>
      <w:tblGrid>
        <w:gridCol w:w="1500"/>
        <w:gridCol w:w="2800"/>
        <w:gridCol w:w="2900"/>
        <w:gridCol w:w="2706"/>
      </w:tblGrid>
      <w:tr>
        <w:trPr>
          <w:cantSplit/>
          <w:tblHeader/>
        </w:trPr>
        <w:tc>
          <w:tcPr>
            <w:tcW w:type="dxa" w:w="15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
            </w:r>
          </w:p>
        </w:tc>
        <w:tc>
          <w:tcPr>
            <w:tcW w:type="dxa" w:w="28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MBO</w:t>
            </w:r>
          </w:p>
        </w:tc>
        <w:tc>
          <w:tcPr>
            <w:tcW w:type="dxa" w:w="29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HBO</w:t>
            </w:r>
          </w:p>
        </w:tc>
        <w:tc>
          <w:tcPr>
            <w:tcW w:type="dxa" w:w="2706"/>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WO</w:t>
            </w:r>
          </w:p>
        </w:tc>
      </w:tr>
      <w:tr>
        <w:trPr>
          <w:cantSplit/>
        </w:trPr>
        <w:tc>
          <w:tcPr>
            <w:tcW w:type="dxa" w:w="15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Taal</w:t>
            </w:r>
          </w:p>
        </w:tc>
        <w:tc>
          <w:tcPr>
            <w:tcW w:type="dxa" w:w="28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B1, korte zinnen</w:t>
            </w:r>
          </w:p>
        </w:tc>
        <w:tc>
          <w:tcPr>
            <w:tcW w:type="dxa" w:w="29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B2, max. ca. 25 woorden per zin</w:t>
            </w:r>
          </w:p>
        </w:tc>
        <w:tc>
          <w:tcPr>
            <w:tcW w:type="dxa" w:w="27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B2/C1, vakbegrippen</w:t>
            </w:r>
          </w:p>
        </w:tc>
      </w:tr>
      <w:tr>
        <w:trPr>
          <w:cantSplit/>
        </w:trPr>
        <w:tc>
          <w:tcPr>
            <w:tcW w:type="dxa" w:w="15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Casus</w:t>
            </w:r>
          </w:p>
        </w:tc>
        <w:tc>
          <w:tcPr>
            <w:tcW w:type="dxa" w:w="28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stage- en werksituaties, dichtbij</w:t>
            </w:r>
          </w:p>
        </w:tc>
        <w:tc>
          <w:tcPr>
            <w:tcW w:type="dxa" w:w="29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beroepscasus met meerdere belanghebbenden</w:t>
            </w:r>
          </w:p>
        </w:tc>
        <w:tc>
          <w:tcPr>
            <w:tcW w:type="dxa" w:w="27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casus met systeem- of beleidsniveau</w:t>
            </w:r>
          </w:p>
        </w:tc>
      </w:tr>
      <w:tr>
        <w:trPr>
          <w:cantSplit/>
        </w:trPr>
        <w:tc>
          <w:tcPr>
            <w:tcW w:type="dxa" w:w="15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Afwegen</w:t>
            </w:r>
          </w:p>
        </w:tc>
        <w:tc>
          <w:tcPr>
            <w:tcW w:type="dxa" w:w="28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intuïtie + één vraag per stap</w:t>
            </w:r>
          </w:p>
        </w:tc>
        <w:tc>
          <w:tcPr>
            <w:tcW w:type="dxa" w:w="29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minstens twee ethische perspectieven</w:t>
            </w:r>
          </w:p>
        </w:tc>
        <w:tc>
          <w:tcPr>
            <w:tcW w:type="dxa" w:w="27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theorieën expliciet benoemen en bekritiseren</w:t>
            </w:r>
          </w:p>
        </w:tc>
      </w:tr>
      <w:tr>
        <w:trPr>
          <w:cantSplit/>
        </w:trPr>
        <w:tc>
          <w:tcPr>
            <w:tcW w:type="dxa" w:w="15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Reflectie</w:t>
            </w:r>
          </w:p>
        </w:tc>
        <w:tc>
          <w:tcPr>
            <w:tcW w:type="dxa" w:w="28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wat deed ik, wat doe ik volgende keer</w:t>
            </w:r>
          </w:p>
        </w:tc>
        <w:tc>
          <w:tcPr>
            <w:tcW w:type="dxa" w:w="29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onderbouwde professionele keuze</w:t>
            </w:r>
          </w:p>
        </w:tc>
        <w:tc>
          <w:tcPr>
            <w:tcW w:type="dxa" w:w="27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verantwoording met literatuur</w:t>
            </w:r>
          </w:p>
        </w:tc>
      </w:tr>
    </w:tbl>
    <w:p>
      <w:pPr>
        <w:spacing w:after="40" w:before="0"/>
      </w:pPr>
      <w:r>
        <w:rPr>
          <w:rFonts w:ascii="Arial" w:cs="Arial" w:eastAsia="Arial" w:hAnsi="Arial"/>
          <w:sz w:val="10"/>
          <w:szCs w:val="10"/>
        </w:rPr>
        <w:t xml:space="preserve"/>
      </w:r>
    </w:p>
    <w:p>
      <w:pPr>
        <w:spacing w:after="80" w:before="0" w:line="264"/>
      </w:pPr>
      <w:r>
        <w:rPr>
          <w:rFonts w:ascii="Arial" w:cs="Arial" w:eastAsia="Arial" w:hAnsi="Arial"/>
          <w:sz w:val="19"/>
          <w:szCs w:val="19"/>
        </w:rPr>
        <w:t xml:space="preserve">Voor deze werkvorm: bij MBO werk je met twee deugden en korte voorbeelden; bij WO laat je de karakterkaart vergelijken met een westerse deugdethiek en met de bronnen over de omoluabi.</w:t>
      </w:r>
    </w:p>
    <w:p>
      <w:pPr>
        <w:keepNext/>
        <w:pBdr>
          <w:bottom w:val="single" w:color="5B2D8E" w:sz="8" w:space="2"/>
        </w:pBdr>
        <w:spacing w:after="90" w:before="200"/>
      </w:pPr>
      <w:r>
        <w:rPr>
          <w:rFonts w:ascii="Arial" w:cs="Arial" w:eastAsia="Arial" w:hAnsi="Arial"/>
          <w:b/>
          <w:bCs/>
          <w:color w:val="5B2D8E"/>
          <w:spacing w:val="30"/>
          <w:sz w:val="20"/>
          <w:szCs w:val="20"/>
        </w:rPr>
        <w:t xml:space="preserve">BRONNEN (APA 7)</w:t>
      </w:r>
    </w:p>
    <w:p>
      <w:pPr>
        <w:spacing w:after="50" w:before="0" w:line="252"/>
        <w:ind w:left="360" w:hanging="360"/>
      </w:pPr>
      <w:r>
        <w:rPr>
          <w:rFonts w:ascii="Arial" w:cs="Arial" w:eastAsia="Arial" w:hAnsi="Arial"/>
          <w:color w:val="5F5E5A"/>
          <w:sz w:val="18"/>
          <w:szCs w:val="18"/>
        </w:rPr>
        <w:t xml:space="preserve">Creative Commons. (z.d.). </w:t>
      </w:r>
      <w:r>
        <w:rPr>
          <w:rFonts w:ascii="Arial" w:cs="Arial" w:eastAsia="Arial" w:hAnsi="Arial"/>
          <w:i/>
          <w:iCs/>
          <w:color w:val="5F5E5A"/>
          <w:sz w:val="18"/>
          <w:szCs w:val="18"/>
        </w:rPr>
        <w:t xml:space="preserve">About CC licenses</w:t>
      </w:r>
      <w:r>
        <w:rPr>
          <w:rFonts w:ascii="Arial" w:cs="Arial" w:eastAsia="Arial" w:hAnsi="Arial"/>
          <w:color w:val="5F5E5A"/>
          <w:sz w:val="18"/>
          <w:szCs w:val="18"/>
        </w:rPr>
        <w:t xml:space="preserve">. https://creativecommons.org/share-your-work/cclicenses/</w:t>
      </w:r>
    </w:p>
    <w:p>
      <w:pPr>
        <w:spacing w:after="50" w:before="0" w:line="252"/>
        <w:ind w:left="360" w:hanging="360"/>
      </w:pPr>
      <w:r>
        <w:rPr>
          <w:rFonts w:ascii="Arial" w:cs="Arial" w:eastAsia="Arial" w:hAnsi="Arial"/>
          <w:color w:val="5F5E5A"/>
          <w:sz w:val="18"/>
          <w:szCs w:val="18"/>
        </w:rPr>
        <w:t xml:space="preserve">Gbadegesin, S. (1991). </w:t>
      </w:r>
      <w:r>
        <w:rPr>
          <w:rFonts w:ascii="Arial" w:cs="Arial" w:eastAsia="Arial" w:hAnsi="Arial"/>
          <w:i/>
          <w:iCs/>
          <w:color w:val="5F5E5A"/>
          <w:sz w:val="18"/>
          <w:szCs w:val="18"/>
        </w:rPr>
        <w:t xml:space="preserve">African philosophy: Traditional Yoruba philosophy and contemporary African realities</w:t>
      </w:r>
      <w:r>
        <w:rPr>
          <w:rFonts w:ascii="Arial" w:cs="Arial" w:eastAsia="Arial" w:hAnsi="Arial"/>
          <w:color w:val="5F5E5A"/>
          <w:sz w:val="18"/>
          <w:szCs w:val="18"/>
        </w:rPr>
        <w:t xml:space="preserve">. Peter Lang.</w:t>
      </w:r>
    </w:p>
    <w:p>
      <w:pPr>
        <w:spacing w:after="50" w:before="0" w:line="252"/>
        <w:ind w:left="360" w:hanging="360"/>
      </w:pPr>
      <w:r>
        <w:rPr>
          <w:rFonts w:ascii="Arial" w:cs="Arial" w:eastAsia="Arial" w:hAnsi="Arial"/>
          <w:color w:val="5F5E5A"/>
          <w:sz w:val="18"/>
          <w:szCs w:val="18"/>
        </w:rPr>
        <w:t xml:space="preserve">Meijer, K. M. T. (2023). </w:t>
      </w:r>
      <w:r>
        <w:rPr>
          <w:rFonts w:ascii="Arial" w:cs="Arial" w:eastAsia="Arial" w:hAnsi="Arial"/>
          <w:i/>
          <w:iCs/>
          <w:color w:val="5F5E5A"/>
          <w:sz w:val="18"/>
          <w:szCs w:val="18"/>
        </w:rPr>
        <w:t xml:space="preserve">Impossible and inevitable: Reconstructing the critique of business ethics</w:t>
      </w:r>
      <w:r>
        <w:rPr>
          <w:rFonts w:ascii="Arial" w:cs="Arial" w:eastAsia="Arial" w:hAnsi="Arial"/>
          <w:color w:val="5F5E5A"/>
          <w:sz w:val="18"/>
          <w:szCs w:val="18"/>
        </w:rPr>
        <w:t xml:space="preserve"> [Proefschrift, Tilburg University]. Ridderprint. https://research.tilburguniversity.edu/en/publications/impossible-and-inevitable-reconstructing-the-critique-of-business/</w:t>
      </w:r>
    </w:p>
    <w:sectPr>
      <w:headerReference w:type="default" r:id="rId7"/>
      <w:footerReference w:type="default" r:id="rId8"/>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Werkvorm geïnspireerd op: omoluabi en ìwà (Yoruba, Nigeria); zie Gbadegesin (1991). Uitwerking en casus: Moreel Vakmanschap, moreelvakmanschap.nl. Licentie: CC BY-SA 4.0 – https://creativecommons.org/licenses/by-sa/4.0/deed.nl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MOREEL VAKMANSCHAP · LECTORAAT ETHISCH WERKEN · WERKBLAD</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MW56 Een kleine fout in het proces-verbaal (Politie, NL)</dc:title>
  <dc:creator>Moreel Vakmanschap</dc:creator>
  <cp:lastModifiedBy>Moreel Vakmanschap</cp:lastModifiedBy>
  <cp:revision>1</cp:revision>
  <dcterms:created xsi:type="dcterms:W3CDTF">2026-10-05T12:00:00Z</dcterms:created>
  <dcterms:modified xsi:type="dcterms:W3CDTF">2026-10-05T12:00:00Z</dcterms:modified>
</cp:coreProperties>
</file>

<file path=docProps/custom.xml><?xml version="1.0" encoding="utf-8"?>
<Properties xmlns="http://schemas.openxmlformats.org/officeDocument/2006/custom-properties" xmlns:vt="http://schemas.openxmlformats.org/officeDocument/2006/docPropsVTypes"/>
</file>