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MW58</w:t>
            </w:r>
          </w:p>
          <w:p>
            <w:pPr>
              <w:spacing w:after="40" w:before="0" w:line="250"/>
            </w:pPr>
            <w:r>
              <w:rPr>
                <w:rFonts w:ascii="Arial" w:cs="Arial" w:eastAsia="Arial" w:hAnsi="Arial"/>
                <w:b/>
                <w:bCs/>
                <w:color w:val="FFFFFF"/>
                <w:sz w:val="34"/>
                <w:szCs w:val="34"/>
              </w:rPr>
              <w:t xml:space="preserve">Een moment van moed</w:t>
            </w:r>
          </w:p>
          <w:p>
            <w:pPr>
              <w:spacing w:after="0" w:before="0"/>
            </w:pPr>
            <w:r>
              <w:rPr>
                <w:rFonts w:ascii="Arial" w:cs="Arial" w:eastAsia="Arial" w:hAnsi="Arial"/>
                <w:color w:val="DDE6F0"/>
                <w:sz w:val="19"/>
                <w:szCs w:val="19"/>
              </w:rPr>
              <w:t xml:space="preserve">Geschikt voor: MBO · HBO · Schoonmaak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moment van morele moed uit het eigen werk beschrijven en een naam geven. (Volhouden)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eigen krachten en bondgenoten benoemen die helpen om bij waarden te blijven. (Volhouden)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het moment vertalen naar een concreet voornemen voor de praktijk.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Dewi beslist zelf wat zij met de map doet; de spanning zit tussen twee eigen waarden (zorgvuldigheid en voorzichtigheid) en niemand controleert haar op dit moment.</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Dewi’s eigen keuze.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regels van het gebouw zijn achtergrond; de keuze ligt op dit moment bij haar (bij twijfel het laagste niveau).</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zet Dewi niet neer als slachtoffer of als held die alles oplost; zij is een professional die een afweging maakt.</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kleurpotloden, eventueel A5-papier om het boekje te vouwen.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en met een eigen, niet te zwaar moment. Er worden geen echte personen of bedrijven genoemd.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Doorverwijzen: </w:t>
      </w:r>
      <w:r>
        <w:rPr>
          <w:rFonts w:ascii="Arial" w:cs="Arial" w:eastAsia="Arial" w:hAnsi="Arial"/>
          <w:sz w:val="20"/>
          <w:szCs w:val="20"/>
        </w:rPr>
        <w:t xml:space="preserve">let op signalen van ernstige stress of een zwaar verleden. Verwijs dan door naar studentbegeleiding, decaan of vertrouwenspersoon en ga niet zelf behandelen.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Het Heldenboek is oorspronkelijk psychosociaal bedoeld, voor kinderen in crisis (Morgan, 2006). Hier is de methode vertaald naar professionele moed: één moment waarop iemand moest kiezen tussen zwijgen en handelen. Er is geen sprake van therapie.</w:t>
      </w:r>
    </w:p>
    <w:p>
      <w:pPr>
        <w:spacing w:after="60" w:before="0" w:line="264"/>
      </w:pPr>
      <w:r>
        <w:rPr>
          <w:rFonts w:ascii="Arial" w:cs="Arial" w:eastAsia="Arial" w:hAnsi="Arial"/>
          <w:sz w:val="20"/>
          <w:szCs w:val="20"/>
        </w:rPr>
        <w:t xml:space="preserve">De licentie van de handleiding is niet duidelijk. Daarom gebruiken we alleen de methode in eigen woorden en kopiëren we geen tekst, pagina’s of tekeningen. De paginatitels zijn eigen werk. Laat de opdracht in drie sessies uitwerken; op het blad werk je één sessie uit.</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boekje wordt een verhaal over een ander. Vraag: wat deed jij?</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Moed wordt gelijkgesteld aan een groot gebaar. Vraag ook naar kleine, stille momenten.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kiezen een te zwaar moment. Laat ze een lichter moment kiezen en wijs de weg naar begeleiding.</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gaf je de kracht om te doen wat je deed, of juist niet?”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of wat was je bondgenoot op dat moment?”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heb je geleerd over je eigen moed?”</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doe je de volgende keer, en wie kan je daarbij steunen?”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(45 min): </w:t>
      </w:r>
      <w:r>
        <w:rPr>
          <w:rFonts w:ascii="Arial" w:cs="Arial" w:eastAsia="Arial" w:hAnsi="Arial"/>
          <w:sz w:val="20"/>
          <w:szCs w:val="20"/>
        </w:rPr>
        <w:t xml:space="preserve">werk alleen pagina 1 tot en met 4 uit.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digitaal sjabloon en deel alleen de titel en de laatste pagina.</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Duo: </w:t>
      </w:r>
      <w:r>
        <w:rPr>
          <w:rFonts w:ascii="Arial" w:cs="Arial" w:eastAsia="Arial" w:hAnsi="Arial"/>
          <w:sz w:val="20"/>
          <w:szCs w:val="20"/>
        </w:rPr>
        <w:t xml:space="preserve">laat studenten elkaars boek lezen en één vraag stellen.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het boek in de stage laten terugkomen bij een nieuw dilemma.</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korte zinnen en tekeningen per pagina; bij HBO laat je het moment koppelen aan een beroepscode of een ethisch perspectief.</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Morgan, J. (2006). </w:t>
      </w:r>
      <w:r>
        <w:rPr>
          <w:rFonts w:ascii="Arial" w:cs="Arial" w:eastAsia="Arial" w:hAnsi="Arial"/>
          <w:i/>
          <w:iCs/>
          <w:color w:val="5F5E5A"/>
          <w:sz w:val="18"/>
          <w:szCs w:val="18"/>
        </w:rPr>
        <w:t xml:space="preserve">Making a hero book: A guide for facilitators</w:t>
      </w:r>
      <w:r>
        <w:rPr>
          <w:rFonts w:ascii="Arial" w:cs="Arial" w:eastAsia="Arial" w:hAnsi="Arial"/>
          <w:color w:val="5F5E5A"/>
          <w:sz w:val="18"/>
          <w:szCs w:val="18"/>
        </w:rPr>
        <w:t xml:space="preserve">. REPSSI.</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het Heldenboek (Hero Book, Zuid-Afrika); zie Morgan (2006).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MW58 Een moment van moed (Schoonmaak,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