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Layout w:type="fixed"/>
      </w:tblPr>
      <w:tblGrid>
        <w:gridCol w:w="7300"/>
        <w:gridCol w:w="2606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3F5E5A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MW61</w:t>
            </w:r>
          </w:p>
          <w:p>
            <w:pPr>
              <w:spacing w:after="40" w:before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Wat vraagt herstel?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Geschikt voor: HBO · WO · Juridische zaken · Nederlands · bij de studentenversie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De student kan het perspectief van wie schade leed en van wie verantwoordelijk is verwoorden. (Voelen)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De student kan een erkenning formuleren die de feiten benoemt zonder de juridische positie te negeren. (Handelen)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De student kan samen bepalen wat herstel vraagt en dat omzetten in een concrete afspraak. (Handelen)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Meso: de kern ligt in hoe de organisatie omgaat met eigen fouten, tussen meerdere belanghebbenden (medewerker, directie, juridische afdeling), en niet in één persoonlijke keuze.</w:t>
      </w:r>
    </w:p>
    <w:p>
      <w:pPr>
        <w:spacing w:after="70" w:before="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Indeling volgens de driedeling micro – meso – macro (werkdefinitie Lectoraat Ethisch Werken, Fontys; geïnspireerd op het werk van Meijer, 2023).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Toets: </w:t>
      </w:r>
      <w:r>
        <w:rPr>
          <w:rFonts w:ascii="Arial" w:cs="Arial" w:eastAsia="Arial" w:hAnsi="Arial"/>
          <w:sz w:val="20"/>
          <w:szCs w:val="20"/>
        </w:rPr>
        <w:t xml:space="preserve">“Wie of wat zou er moeten veranderen om dit dilemma te laten verdwijnen?” Antwoord: de manier waarop de organisatie met fouten en aansprakelijkheid omgaat. Dat is Meso.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Niet Micro: </w:t>
      </w:r>
      <w:r>
        <w:rPr>
          <w:rFonts w:ascii="Arial" w:cs="Arial" w:eastAsia="Arial" w:hAnsi="Arial"/>
          <w:sz w:val="20"/>
          <w:szCs w:val="20"/>
        </w:rPr>
        <w:t xml:space="preserve">Sanne adviseert, maar de directie beslist en de organisatiecultuur bepaalt wat gezegd mag worden.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Niet Macro: </w:t>
      </w:r>
      <w:r>
        <w:rPr>
          <w:rFonts w:ascii="Arial" w:cs="Arial" w:eastAsia="Arial" w:hAnsi="Arial"/>
          <w:sz w:val="20"/>
          <w:szCs w:val="20"/>
        </w:rPr>
        <w:t xml:space="preserve">de kern is geen wet of mensenrechtenkwestie; het aansprakelijkheidsrecht is hier randvoorwaarde.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Materiaal: </w:t>
      </w:r>
      <w:r>
        <w:rPr>
          <w:rFonts w:ascii="Arial" w:cs="Arial" w:eastAsia="Arial" w:hAnsi="Arial"/>
          <w:sz w:val="20"/>
          <w:szCs w:val="20"/>
        </w:rPr>
        <w:t xml:space="preserve">studentenversie, pennen, rolkaartjes (Tariq, Sanne, bemiddelaar).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Rol van de begeleider: </w:t>
      </w:r>
      <w:r>
        <w:rPr>
          <w:rFonts w:ascii="Arial" w:cs="Arial" w:eastAsia="Arial" w:hAnsi="Arial"/>
          <w:sz w:val="20"/>
          <w:szCs w:val="20"/>
        </w:rPr>
        <w:t xml:space="preserve">houd het zakelijk en bewaak de stappen. Laat de casus fictief blijven en laat niemand een eigen ervaring naspelen.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Veiligheid: </w:t>
      </w:r>
      <w:r>
        <w:rPr>
          <w:rFonts w:ascii="Arial" w:cs="Arial" w:eastAsia="Arial" w:hAnsi="Arial"/>
          <w:sz w:val="20"/>
          <w:szCs w:val="20"/>
        </w:rPr>
        <w:t xml:space="preserve">speel nooit echte trauma’s na. Bied na afloop ruimte om uit de rol te komen. Wijs bij signalen van onrust door naar de studentendecaan of vertrouwenspersoon.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HERKOMST EN ACHTERGROND</w:t>
      </w:r>
    </w:p>
    <w:p>
      <w:pPr>
        <w:spacing w:after="60" w:before="0" w:line="264"/>
      </w:pPr>
      <w:r>
        <w:rPr>
          <w:rFonts w:ascii="Arial" w:cs="Arial" w:eastAsia="Arial" w:hAnsi="Arial"/>
          <w:sz w:val="20"/>
          <w:szCs w:val="20"/>
        </w:rPr>
        <w:t xml:space="preserve">De werkvorm ontleent het drieluik getuigen, erkennen en herstellen aan de manier waarop de Zuid-Afrikaanse Waarheids- en Verzoeningscommissie werd beschreven (Tutu, 1999; Gobodo-Madikizela, 2003). De kernvraag is hoe je tot verzoening komt zonder de waarheid te verzwijgen. Verzoening is hier geen verplichting en vergeving geen voorwaarde.</w:t>
      </w:r>
    </w:p>
    <w:p>
      <w:pPr>
        <w:spacing w:after="60" w:before="0" w:line="264"/>
      </w:pPr>
      <w:r>
        <w:rPr>
          <w:rFonts w:ascii="Arial" w:cs="Arial" w:eastAsia="Arial" w:hAnsi="Arial"/>
          <w:sz w:val="20"/>
          <w:szCs w:val="20"/>
        </w:rPr>
        <w:t xml:space="preserve">Let op: de commissie ging over zeer ernstig onrecht. Vergelijk dat niet met een fout op de werkvloer. Gebruik haar alleen als denkkader en laat de studenten dat verschil zelf benoemen.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De erkenning wordt een juridisch voorbehoud. Vraag: wat zou Tariq horen als hij dit las?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Er wordt snel naar vergeving of een schikking gegrepen. Vraag: welke stap ontbreekt nog voordat het zover is?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Studenten gaan hun eigen ervaringen delen. Herinner aan de fictieve casus en bied indien nodig een apart gesprek aan.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VRAGEN DIE DE BEGELEIDER KAN STELLEN</w:t>
      </w:r>
    </w:p>
    <w:tbl>
      <w:tblPr>
        <w:tblW w:type="dxa" w:w="9906"/>
        <w:tblLayout w:type="fixed"/>
      </w:tblPr>
      <w:tblGrid>
        <w:gridCol w:w="1700"/>
        <w:gridCol w:w="8206"/>
      </w:tblGrid>
      <w:tr>
        <w:trPr>
          <w:cantSplit/>
          <w:tblHeader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Vraag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Voelen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“Wat heeft Tariq nodig om gehoord te voelen?”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Voelen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“Wat is er moeilijk aan het erkennen van een fout namens een organisatie?”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Handelen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“Welke zin in de erkenning is feitelijk juist en ook eerlijk?”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Handelen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“Wat is een herstelstap die de organisatie ook echt kan uitvoeren?”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Korter: </w:t>
      </w:r>
      <w:r>
        <w:rPr>
          <w:rFonts w:ascii="Arial" w:cs="Arial" w:eastAsia="Arial" w:hAnsi="Arial"/>
          <w:sz w:val="20"/>
          <w:szCs w:val="20"/>
        </w:rPr>
        <w:t xml:space="preserve">werk zonder rollenspel en laat studenten de drie stappen individueel schriftelijk uitwerken.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Online: </w:t>
      </w:r>
      <w:r>
        <w:rPr>
          <w:rFonts w:ascii="Arial" w:cs="Arial" w:eastAsia="Arial" w:hAnsi="Arial"/>
          <w:sz w:val="20"/>
          <w:szCs w:val="20"/>
        </w:rPr>
        <w:t xml:space="preserve">werk in kleine groepen in een breakout-ruimte met een gedeeld document voor de stappenkaart.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Grote groep: </w:t>
      </w:r>
      <w:r>
        <w:rPr>
          <w:rFonts w:ascii="Arial" w:cs="Arial" w:eastAsia="Arial" w:hAnsi="Arial"/>
          <w:sz w:val="20"/>
          <w:szCs w:val="20"/>
        </w:rPr>
        <w:t xml:space="preserve">laat groepjes van drie werken en laat per groepje één formulering van de erkenning delen.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Vervolg: </w:t>
      </w:r>
      <w:r>
        <w:rPr>
          <w:rFonts w:ascii="Arial" w:cs="Arial" w:eastAsia="Arial" w:hAnsi="Arial"/>
          <w:sz w:val="20"/>
          <w:szCs w:val="20"/>
        </w:rPr>
        <w:t xml:space="preserve">laat studenten een eigen korte erkenningstekst schrijven en bespreek die met een jurist of HR-professional.</w:t>
      </w:r>
    </w:p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906"/>
        <w:tblLayout w:type="fixed"/>
      </w:tblPr>
      <w:tblGrid>
        <w:gridCol w:w="1500"/>
        <w:gridCol w:w="2800"/>
        <w:gridCol w:w="2900"/>
        <w:gridCol w:w="2706"/>
      </w:tblGrid>
      <w:tr>
        <w:trPr>
          <w:cantSplit/>
          <w:tblHeader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MBO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HBO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Taal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B1, korte zinnen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B2, max. ca. 25 woorden per zin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B2/C1, vakbegrippen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Casus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stage- en werksituaties, dichtbij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beroepscasus met meerdere belanghebbenden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casus met systeem- of beleidsniveau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Afwegen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intuïtie + één vraag per stap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minstens twee ethische perspectieven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theorieën expliciet benoemen en bekritiseren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Reflectie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wat deed ik, wat doe ik volgende keer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onderbouwde professionele keuze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verantwoording met literatuur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Voor deze werkvorm: bij HBO werk je aan een professionele erkenning in eigen woorden; bij WO laat je de keuzes verantwoorden met literatuur over verzoening, aansprakelijkheid en organisatieverantwoordelijkheid.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Creative Commons. (z.d.).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About CC licenses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. https://creativecommons.org/share-your-work/cclicenses/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Gobodo-Madikizela, P. (2003).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A human being died that night: A South African story of forgiveness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. Houghton Mifflin.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Meijer, K. M. T. (2023).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Impossible and inevitable: Reconstructing the critique of business ethics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 [Proefschrift, Tilburg University]. Ridderprint. https://research.tilburguniversity.edu/en/publications/impossible-and-inevitable-reconstructing-the-critique-of-business/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Tutu, D. (1999).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No future without forgiveness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. Doubleday.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>Werkvorm geïnspireerd op: de Zuid-Afrikaanse Waarheids- en Verzoeningscommissie; zie Tutu (1999) en Gobodo-Madikizela (2003).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>MOREEL VAKMANSCHAP · LECTORAAT ETHISCH WERKEN · WERKBLAD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MW61 Wat vraagt herstel? (Juridische zaken, NL)</dc:title>
  <dc:creator>Moreel Vakmanschap</dc:creator>
  <cp:lastModifiedBy>Moreel Vakmanschap</cp:lastModifiedBy>
  <cp:revision>1</cp:revision>
  <dcterms:created xsi:type="dcterms:W3CDTF">2026-10-05T12:00:00Z</dcterms:created>
  <dcterms:modified xsi:type="dcterms:W3CDTF">2026-10-05T12:00:00Z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