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ASSIGNMENT MW62 — BONFIRE DIALOGUE · STUDENT LIFE</w:t>
            </w:r>
          </w:p>
          <w:p>
            <w:pPr>
              <w:spacing w:after="40" w:before="0" w:line="250"/>
            </w:pPr>
            <w:r>
              <w:rPr>
                <w:rFonts w:ascii="Arial" w:cs="Arial" w:eastAsia="Arial" w:hAnsi="Arial"/>
                <w:b/>
                <w:bCs/>
                <w:color w:val="FFFFFF"/>
                <w:sz w:val="34"/>
                <w:szCs w:val="34"/>
              </w:rPr>
              <w:t xml:space="preserve">Listen first, then move on together</w:t>
            </w:r>
          </w:p>
          <w:p>
            <w:pPr>
              <w:spacing w:after="0" w:before="0"/>
            </w:pPr>
            <w:r>
              <w:rPr>
                <w:rFonts w:ascii="Arial" w:cs="Arial" w:eastAsia="Arial" w:hAnsi="Arial"/>
                <w:color w:val="DDE6F0"/>
                <w:sz w:val="19"/>
                <w:szCs w:val="19"/>
              </w:rPr>
              <w:t xml:space="preserve">Case: a project team after a conflict</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COMPLEXITY</w:t>
            </w:r>
          </w:p>
          <w:p>
            <w:pPr>
              <w:spacing w:after="0" w:before="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C98A1B" w:color="auto" w:val="clear"/>
        </w:rPr>
        <w:t xml:space="preserve"> FEELING </w:t>
      </w:r>
      <w:r>
        <w:rPr>
          <w:rFonts w:ascii="Arial" w:cs="Arial" w:eastAsia="Arial" w:hAnsi="Arial"/>
          <w:sz w:val="17"/>
          <w:szCs w:val="17"/>
        </w:rPr>
        <w:t xml:space="preserve">  </w:t>
      </w:r>
      <w:r>
        <w:rPr>
          <w:rFonts w:ascii="Arial" w:cs="Arial" w:eastAsia="Arial" w:hAnsi="Arial"/>
          <w:b/>
          <w:bCs/>
          <w:color w:val="FFFFFF"/>
          <w:sz w:val="17"/>
          <w:szCs w:val="17"/>
          <w:shd w:fill="E8735A" w:color="auto" w:val="clear"/>
        </w:rPr>
        <w:t xml:space="preserve"> PERSEVERING </w:t>
      </w:r>
      <w:r>
        <w:rPr>
          <w:rFonts w:ascii="Arial" w:cs="Arial" w:eastAsia="Arial" w:hAnsi="Arial"/>
          <w:sz w:val="17"/>
          <w:szCs w:val="17"/>
        </w:rPr>
        <w:t xml:space="preserve">  </w:t>
      </w:r>
      <w:r>
        <w:rPr>
          <w:rFonts w:ascii="Arial" w:cs="Arial" w:eastAsia="Arial" w:hAnsi="Arial"/>
          <w:color w:val="5F5E5A"/>
          <w:sz w:val="17"/>
          <w:szCs w:val="17"/>
        </w:rPr>
        <w:t xml:space="preserve">Time: </w:t>
      </w:r>
      <w:r>
        <w:rPr>
          <w:rFonts w:ascii="Arial" w:cs="Arial" w:eastAsia="Arial" w:hAnsi="Arial"/>
          <w:b/>
          <w:bCs/>
          <w:sz w:val="17"/>
          <w:szCs w:val="17"/>
        </w:rPr>
        <w:t xml:space="preserve">60–90 min</w:t>
      </w:r>
      <w:r>
        <w:rPr>
          <w:rFonts w:ascii="Arial" w:cs="Arial" w:eastAsia="Arial" w:hAnsi="Arial"/>
          <w:sz w:val="17"/>
          <w:szCs w:val="17"/>
        </w:rPr>
        <w:t xml:space="preserve">   </w:t>
      </w:r>
      <w:r>
        <w:rPr>
          <w:rFonts w:ascii="Arial" w:cs="Arial" w:eastAsia="Arial" w:hAnsi="Arial"/>
          <w:color w:val="5F5E5A"/>
          <w:sz w:val="17"/>
          <w:szCs w:val="17"/>
        </w:rPr>
        <w:t xml:space="preserve">Group: </w:t>
      </w:r>
      <w:r>
        <w:rPr>
          <w:rFonts w:ascii="Arial" w:cs="Arial" w:eastAsia="Arial" w:hAnsi="Arial"/>
          <w:b/>
          <w:bCs/>
          <w:sz w:val="17"/>
          <w:szCs w:val="17"/>
        </w:rPr>
        <w:t xml:space="preserve">8–30 participants</w:t>
      </w:r>
      <w:r>
        <w:rPr>
          <w:rFonts w:ascii="Arial" w:cs="Arial" w:eastAsia="Arial" w:hAnsi="Arial"/>
          <w:sz w:val="17"/>
          <w:szCs w:val="17"/>
        </w:rPr>
        <w:t xml:space="preserve">   </w:t>
      </w:r>
    </w:p>
    <w:p>
      <w:pPr>
        <w:spacing w:after="100" w:before="0"/>
      </w:pPr>
      <w:r>
        <w:rPr>
          <w:rFonts w:ascii="Arial" w:cs="Arial" w:eastAsia="Arial" w:hAnsi="Arial"/>
          <w:color w:val="5F5E5A"/>
          <w:sz w:val="17"/>
          <w:szCs w:val="17"/>
        </w:rPr>
        <w:t xml:space="preserve">Suitable for: </w:t>
      </w:r>
      <w:r>
        <w:rPr>
          <w:rFonts w:ascii="Arial" w:cs="Arial" w:eastAsia="Arial" w:hAnsi="Arial"/>
          <w:b/>
          <w:bCs/>
          <w:sz w:val="17"/>
          <w:szCs w:val="17"/>
        </w:rPr>
        <w:t xml:space="preserve">Vocational · Applied · Academic</w:t>
      </w:r>
    </w:p>
    <w:p>
      <w:pPr>
        <w:spacing w:after="0"/>
      </w:pPr>
      <w:r>
        <w:drawing>
          <wp:inline xmlns:a="http://schemas.openxmlformats.org/drawingml/2006/main" xmlns:pic="http://schemas.openxmlformats.org/drawingml/2006/picture">
            <wp:extent cx="6238875" cy="3509367"/>
            <wp:docPr id="1" name="Picture 1"/>
            <wp:cNvGraphicFramePr>
              <a:graphicFrameLocks noChangeAspect="1"/>
            </wp:cNvGraphicFramePr>
            <a:graphic>
              <a:graphicData uri="http://schemas.openxmlformats.org/drawingml/2006/picture">
                <pic:pic>
                  <pic:nvPicPr>
                    <pic:cNvPr id="0" name="WB-MW62-STUDENTENLEVEN-NL.jpg"/>
                    <pic:cNvPicPr/>
                  </pic:nvPicPr>
                  <pic:blipFill>
                    <a:blip r:embed="rId9"/>
                    <a:stretch>
                      <a:fillRect/>
                    </a:stretch>
                  </pic:blipFill>
                  <pic:spPr>
                    <a:xfrm>
                      <a:off x="0" y="0"/>
                      <a:ext cx="6238875" cy="3509367"/>
                    </a:xfrm>
                    <a:prstGeom prst="rect"/>
                  </pic:spPr>
                </pic:pic>
              </a:graphicData>
            </a:graphic>
          </wp:inline>
        </w:drawing>
      </w:r>
    </w:p>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Layout w:type="fixed"/>
      </w:tblPr>
      <w:tblGrid>
        <w:gridCol w:w="9906"/>
      </w:tblGrid>
      <w:tr>
        <w:tc>
          <w:tcPr>
            <w:tcW w:type="dxa" w:w="9906"/>
            <w:tcBorders>
              <w:top w:val="none" w:color="FFFFFF" w:sz="0"/>
              <w:left w:val="single" w:color="993556" w:sz="36"/>
              <w:bottom w:val="none" w:color="FFFFFF" w:sz="0"/>
              <w:right w:val="none" w:color="FFFFFF" w:sz="0"/>
            </w:tcBorders>
            <w:shd w:fill="E7EEEC" w:color="auto" w:val="clear"/>
            <w:tcMar>
              <w:top w:type="dxa" w:w="140"/>
              <w:left w:type="dxa" w:w="240"/>
              <w:bottom w:type="dxa" w:w="100"/>
              <w:right w:type="dxa" w:w="200"/>
            </w:tcMar>
          </w:tcPr>
          <w:p>
            <w:pPr>
              <w:spacing w:after="100" w:before="0" w:line="288"/>
            </w:pPr>
            <w:r>
              <w:rPr>
                <w:rFonts w:ascii="Arial" w:cs="Arial" w:eastAsia="Arial" w:hAnsi="Arial"/>
                <w:sz w:val="21"/>
                <w:szCs w:val="21"/>
              </w:rPr>
              <w:t xml:space="preserve">The project team of the student association De Brug has eight members and is organising a charity day in three weeks. Since the party last month the mood has turned. Noor was not invited to the afterparty at Daan’s place, while almost everyone else went. In the group chat jokes followed about who “did not belong”.</w:t>
            </w:r>
          </w:p>
          <w:p>
            <w:pPr>
              <w:spacing w:after="100" w:before="0" w:line="288"/>
            </w:pPr>
            <w:r>
              <w:rPr>
                <w:rFonts w:ascii="Arial" w:cs="Arial" w:eastAsia="Arial" w:hAnsi="Arial"/>
                <w:sz w:val="21"/>
                <w:szCs w:val="21"/>
              </w:rPr>
              <w:t xml:space="preserve">Then a second problem came up. Daan said three hundred euros were missing from the fund. Joris thought that Noor, as treasurer, had not kept the accounts in order. Noor says it is a misunderstanding about a payment to the printer. She no longer comes to meetings. Some members take sides, others stay silent.</w:t>
            </w:r>
          </w:p>
          <w:p>
            <w:pPr>
              <w:spacing w:after="100" w:before="0" w:line="288"/>
            </w:pPr>
            <w:r>
              <w:rPr>
                <w:rFonts w:ascii="Arial" w:cs="Arial" w:eastAsia="Arial" w:hAnsi="Arial"/>
                <w:sz w:val="21"/>
                <w:szCs w:val="21"/>
              </w:rPr>
              <w:t xml:space="preserve">Mila, the chair, wants to redistribute the tasks and move on. She notices that such a meeting will not make the conflict disappear. She considers first asking the group what “making it right” means to them. After that there could be an evening where everyone tells what they experienced, and only then working together on the charity day.</w:t>
            </w:r>
          </w:p>
          <w:p>
            <w:pPr>
              <w:spacing w:after="40" w:before="0" w:line="288"/>
            </w:pPr>
            <w:r>
              <w:rPr>
                <w:rFonts w:ascii="Arial" w:cs="Arial" w:eastAsia="Arial" w:hAnsi="Arial"/>
                <w:b/>
                <w:bCs/>
                <w:sz w:val="21"/>
                <w:szCs w:val="21"/>
              </w:rPr>
              <w:t xml:space="preserve">How can Mila bring the group back together without anyone feeling forced or ashamed?</w:t>
            </w:r>
          </w:p>
        </w:tc>
      </w:tr>
    </w:tbl>
    <w:p>
      <w:pPr>
        <w:spacing w:after="0" w:before="60"/>
      </w:pPr>
      <w:r>
        <w:rPr>
          <w:rFonts w:ascii="Arial" w:cs="Arial" w:eastAsia="Arial" w:hAnsi="Arial"/>
          <w:i/>
          <w:iCs/>
          <w:color w:val="5F5E5A"/>
          <w:sz w:val="15"/>
          <w:szCs w:val="15"/>
        </w:rPr>
        <w:t xml:space="preserve">Fictional case. Any resemblance to existing persons or organisations is coincidental.</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HOW TO WORK</w:t>
      </w:r>
    </w:p>
    <w:p>
      <w:pPr>
        <w:spacing w:after="50" w:before="0" w:line="264"/>
        <w:ind w:left="400" w:hanging="400"/>
      </w:pPr>
      <w:r>
        <w:rPr>
          <w:rFonts w:ascii="Arial" w:cs="Arial" w:eastAsia="Arial" w:hAnsi="Arial"/>
          <w:b/>
          <w:bCs/>
          <w:color w:val="5B2D8E"/>
          <w:sz w:val="20"/>
          <w:szCs w:val="20"/>
        </w:rPr>
        <w:t xml:space="preserve">1.</w:t>
      </w:r>
      <w:r>
        <w:tab/>
      </w:r>
      <w:r>
        <w:rPr>
          <w:rFonts w:ascii="Arial" w:cs="Arial" w:eastAsia="Arial" w:hAnsi="Arial"/>
          <w:sz w:val="20"/>
          <w:szCs w:val="20"/>
        </w:rPr>
        <w:t xml:space="preserve">Read the case. Briefly discuss what you think happened and who has lost something. </w:t>
      </w:r>
      <w:r>
        <w:rPr>
          <w:rFonts w:ascii="Arial" w:cs="Arial" w:eastAsia="Arial" w:hAnsi="Arial"/>
          <w:i/>
          <w:iCs/>
          <w:color w:val="5F5E5A"/>
          <w:sz w:val="18"/>
          <w:szCs w:val="18"/>
        </w:rPr>
        <w:t xml:space="preserve">(5 min)</w:t>
      </w:r>
    </w:p>
    <w:p>
      <w:pPr>
        <w:spacing w:after="50" w:before="0" w:line="264"/>
        <w:ind w:left="400" w:hanging="400"/>
      </w:pPr>
      <w:r>
        <w:rPr>
          <w:rFonts w:ascii="Arial" w:cs="Arial" w:eastAsia="Arial" w:hAnsi="Arial"/>
          <w:b/>
          <w:bCs/>
          <w:color w:val="5B2D8E"/>
          <w:sz w:val="20"/>
          <w:szCs w:val="20"/>
        </w:rPr>
        <w:t xml:space="preserve">2.</w:t>
      </w:r>
      <w:r>
        <w:tab/>
      </w:r>
      <w:r>
        <w:rPr>
          <w:rFonts w:ascii="Arial" w:cs="Arial" w:eastAsia="Arial" w:hAnsi="Arial"/>
          <w:sz w:val="20"/>
          <w:szCs w:val="20"/>
        </w:rPr>
        <w:t xml:space="preserve">Phase 1, consulting: discuss in groups of 3–4 what “reconciliation” would mean for this team and what it would need. Write the answers on the card. </w:t>
      </w:r>
      <w:r>
        <w:rPr>
          <w:rFonts w:ascii="Arial" w:cs="Arial" w:eastAsia="Arial" w:hAnsi="Arial"/>
          <w:i/>
          <w:iCs/>
          <w:color w:val="5F5E5A"/>
          <w:sz w:val="18"/>
          <w:szCs w:val="18"/>
        </w:rPr>
        <w:t xml:space="preserve">(15 min)</w:t>
      </w:r>
    </w:p>
    <w:p>
      <w:pPr>
        <w:spacing w:after="50" w:before="0" w:line="264"/>
        <w:ind w:left="400" w:hanging="400"/>
      </w:pPr>
      <w:r>
        <w:rPr>
          <w:rFonts w:ascii="Arial" w:cs="Arial" w:eastAsia="Arial" w:hAnsi="Arial"/>
          <w:b/>
          <w:bCs/>
          <w:color w:val="5B2D8E"/>
          <w:sz w:val="20"/>
          <w:szCs w:val="20"/>
        </w:rPr>
        <w:t xml:space="preserve">3.</w:t>
      </w:r>
      <w:r>
        <w:tab/>
      </w:r>
      <w:r>
        <w:rPr>
          <w:rFonts w:ascii="Arial" w:cs="Arial" w:eastAsia="Arial" w:hAnsi="Arial"/>
          <w:sz w:val="20"/>
          <w:szCs w:val="20"/>
        </w:rPr>
        <w:t xml:space="preserve">Phase 2, telling: sit in a loose circle. Whoever wants to tells in their own words what they experienced (two minutes at most, in the first person). The others listen without responding. Sharing is voluntary. </w:t>
      </w:r>
      <w:r>
        <w:rPr>
          <w:rFonts w:ascii="Arial" w:cs="Arial" w:eastAsia="Arial" w:hAnsi="Arial"/>
          <w:i/>
          <w:iCs/>
          <w:color w:val="5F5E5A"/>
          <w:sz w:val="18"/>
          <w:szCs w:val="18"/>
        </w:rPr>
        <w:t xml:space="preserve">(25 min)</w:t>
      </w:r>
    </w:p>
    <w:p>
      <w:pPr>
        <w:spacing w:after="50" w:before="0" w:line="264"/>
        <w:ind w:left="400" w:hanging="400"/>
      </w:pPr>
      <w:r>
        <w:rPr>
          <w:rFonts w:ascii="Arial" w:cs="Arial" w:eastAsia="Arial" w:hAnsi="Arial"/>
          <w:b/>
          <w:bCs/>
          <w:color w:val="5B2D8E"/>
          <w:sz w:val="20"/>
          <w:szCs w:val="20"/>
        </w:rPr>
        <w:t xml:space="preserve">4.</w:t>
      </w:r>
      <w:r>
        <w:tab/>
      </w:r>
      <w:r>
        <w:rPr>
          <w:rFonts w:ascii="Arial" w:cs="Arial" w:eastAsia="Arial" w:hAnsi="Arial"/>
          <w:sz w:val="20"/>
          <w:szCs w:val="20"/>
        </w:rPr>
        <w:t xml:space="preserve">Phase 3, acknowledging: do not respond with a judgement, but say what you heard and what it means to you. Note what needs to be acknowledged. </w:t>
      </w:r>
      <w:r>
        <w:rPr>
          <w:rFonts w:ascii="Arial" w:cs="Arial" w:eastAsia="Arial" w:hAnsi="Arial"/>
          <w:i/>
          <w:iCs/>
          <w:color w:val="5F5E5A"/>
          <w:sz w:val="18"/>
          <w:szCs w:val="18"/>
        </w:rPr>
        <w:t xml:space="preserve">(15 min)</w:t>
      </w:r>
    </w:p>
    <w:p>
      <w:pPr>
        <w:spacing w:after="50" w:before="0" w:line="264"/>
        <w:ind w:left="400" w:hanging="400"/>
      </w:pPr>
      <w:r>
        <w:rPr>
          <w:rFonts w:ascii="Arial" w:cs="Arial" w:eastAsia="Arial" w:hAnsi="Arial"/>
          <w:b/>
          <w:bCs/>
          <w:color w:val="5B2D8E"/>
          <w:sz w:val="20"/>
          <w:szCs w:val="20"/>
        </w:rPr>
        <w:t xml:space="preserve">5.</w:t>
      </w:r>
      <w:r>
        <w:tab/>
      </w:r>
      <w:r>
        <w:rPr>
          <w:rFonts w:ascii="Arial" w:cs="Arial" w:eastAsia="Arial" w:hAnsi="Arial"/>
          <w:sz w:val="20"/>
          <w:szCs w:val="20"/>
        </w:rPr>
        <w:t xml:space="preserve">Phase 4, doing together: come up with one follow-up action in which the team does something together (working, sport, cooking). Who does what, and when? </w:t>
      </w:r>
      <w:r>
        <w:rPr>
          <w:rFonts w:ascii="Arial" w:cs="Arial" w:eastAsia="Arial" w:hAnsi="Arial"/>
          <w:i/>
          <w:iCs/>
          <w:color w:val="5F5E5A"/>
          <w:sz w:val="18"/>
          <w:szCs w:val="18"/>
        </w:rPr>
        <w:t xml:space="preserve">(15 min)</w:t>
      </w:r>
    </w:p>
    <w:p>
      <w:pPr>
        <w:spacing w:after="50" w:before="0" w:line="264"/>
        <w:ind w:left="400" w:hanging="400"/>
      </w:pPr>
      <w:r>
        <w:rPr>
          <w:rFonts w:ascii="Arial" w:cs="Arial" w:eastAsia="Arial" w:hAnsi="Arial"/>
          <w:b/>
          <w:bCs/>
          <w:color w:val="5B2D8E"/>
          <w:sz w:val="20"/>
          <w:szCs w:val="20"/>
        </w:rPr>
        <w:t xml:space="preserve">6.</w:t>
      </w:r>
      <w:r>
        <w:tab/>
      </w:r>
      <w:r>
        <w:rPr>
          <w:rFonts w:ascii="Arial" w:cs="Arial" w:eastAsia="Arial" w:hAnsi="Arial"/>
          <w:sz w:val="20"/>
          <w:szCs w:val="20"/>
        </w:rPr>
        <w:t xml:space="preserve">Close with the reflection questions. </w:t>
      </w:r>
      <w:r>
        <w:rPr>
          <w:rFonts w:ascii="Arial" w:cs="Arial" w:eastAsia="Arial" w:hAnsi="Arial"/>
          <w:i/>
          <w:iCs/>
          <w:color w:val="5F5E5A"/>
          <w:sz w:val="18"/>
          <w:szCs w:val="18"/>
        </w:rPr>
        <w:t xml:space="preserve">(5 min)</w:t>
      </w:r>
    </w:p>
    <w:p>
      <w:pPr>
        <w:keepNext/>
        <w:spacing w:after="40" w:before="120"/>
      </w:pPr>
      <w:r>
        <w:rPr>
          <w:rFonts w:ascii="Arial" w:cs="Arial" w:eastAsia="Arial" w:hAnsi="Arial"/>
          <w:b/>
          <w:bCs/>
          <w:sz w:val="19"/>
          <w:szCs w:val="19"/>
        </w:rPr>
        <w:t xml:space="preserve">FOUR-PHASE CARD — APPLIED TO MILA’S TEAM</w:t>
      </w:r>
    </w:p>
    <w:tbl>
      <w:tblPr>
        <w:tblW w:type="dxa" w:w="9906"/>
        <w:tblLayout w:type="fixed"/>
      </w:tblPr>
      <w:tblGrid>
        <w:gridCol w:w="1900"/>
        <w:gridCol w:w="3300"/>
        <w:gridCol w:w="4706"/>
      </w:tblGrid>
      <w:tr>
        <w:trPr>
          <w:cantSplit/>
          <w:tblHeader/>
        </w:trPr>
        <w:tc>
          <w:tcPr>
            <w:tcW w:type="dxa" w:w="19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Phase</w:t>
            </w:r>
          </w:p>
        </w:tc>
        <w:tc>
          <w:tcPr>
            <w:tcW w:type="dxa" w:w="33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Question in this phase</w:t>
            </w:r>
          </w:p>
        </w:tc>
        <w:tc>
          <w:tcPr>
            <w:tcW w:type="dxa" w:w="47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Application to the team</w:t>
            </w:r>
          </w:p>
        </w:tc>
      </w:tr>
      <w:tr>
        <w:trPr>
          <w:cantSplit/>
          <w:trHeight w:val="1000" w:hRule="atLeast"/>
        </w:trPr>
        <w:tc>
          <w:tcPr>
            <w:tcW w:type="dxa" w:w="19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1. Consulting</w:t>
            </w:r>
          </w:p>
        </w:tc>
        <w:tc>
          <w:tcPr>
            <w:tcW w:type="dxa" w:w="3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4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1000" w:hRule="atLeast"/>
        </w:trPr>
        <w:tc>
          <w:tcPr>
            <w:tcW w:type="dxa" w:w="19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2. Telling</w:t>
            </w:r>
          </w:p>
        </w:tc>
        <w:tc>
          <w:tcPr>
            <w:tcW w:type="dxa" w:w="3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4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1000" w:hRule="atLeast"/>
        </w:trPr>
        <w:tc>
          <w:tcPr>
            <w:tcW w:type="dxa" w:w="19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3. Acknowledging</w:t>
            </w:r>
          </w:p>
        </w:tc>
        <w:tc>
          <w:tcPr>
            <w:tcW w:type="dxa" w:w="3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4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1000" w:hRule="atLeast"/>
        </w:trPr>
        <w:tc>
          <w:tcPr>
            <w:tcW w:type="dxa" w:w="19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4. Doing together</w:t>
            </w:r>
          </w:p>
        </w:tc>
        <w:tc>
          <w:tcPr>
            <w:tcW w:type="dxa" w:w="3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47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OUR FIRST FOLLOW-UP ACTION — WHO, WHAT, WHEN?</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8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C98A1B" w:color="auto" w:val="clear"/>
        </w:rPr>
        <w:t xml:space="preserve"> FEELING </w:t>
      </w:r>
      <w:r>
        <w:rPr>
          <w:rFonts w:ascii="Arial" w:cs="Arial" w:eastAsia="Arial" w:hAnsi="Arial"/>
          <w:sz w:val="20"/>
          <w:szCs w:val="20"/>
        </w:rPr>
        <w:t xml:space="preserve">  What did you feel while telling or listening, and what does that tell you about what the team needs?</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E8735A" w:color="auto" w:val="clear"/>
        </w:rPr>
        <w:t xml:space="preserve"> PERSEVERING </w:t>
      </w:r>
      <w:r>
        <w:rPr>
          <w:rFonts w:ascii="Arial" w:cs="Arial" w:eastAsia="Arial" w:hAnsi="Arial"/>
          <w:sz w:val="20"/>
          <w:szCs w:val="20"/>
        </w:rPr>
        <w:t xml:space="preserve">  What helps the team to keep working together after such a conversation?</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60" w:before="0"/>
      </w:pPr>
      <w:r>
        <w:rPr>
          <w:rFonts w:ascii="Arial" w:cs="Arial" w:eastAsia="Arial" w:hAnsi="Arial"/>
          <w:sz w:val="10"/>
          <w:szCs w:val="10"/>
        </w:rPr>
        <w:t xml:space="preserve"/>
      </w:r>
    </w:p>
    <w:tbl>
      <w:tblPr>
        <w:tblW w:type="dxa" w:w="9906"/>
        <w:tblLayout w:type="fixed"/>
      </w:tblPr>
      <w:tblGrid>
        <w:gridCol w:w="9906"/>
      </w:tblGrid>
      <w:tr>
        <w:trPr>
          <w:cantSplit/>
        </w:trPr>
        <w:tc>
          <w:tcPr>
            <w:tcW w:type="dxa" w:w="9906"/>
            <w:tcBorders>
              <w:top w:val="none" w:color="FFFFFF" w:sz="0"/>
              <w:left w:val="single" w:color="5B2D8E" w:sz="24"/>
              <w:bottom w:val="none" w:color="FFFFFF" w:sz="0"/>
              <w:right w:val="none" w:color="FFFFFF" w:sz="0"/>
            </w:tcBorders>
            <w:shd w:fill="F2F2F2" w:color="auto" w:val="clear"/>
            <w:tcMar>
              <w:top w:type="dxa" w:w="110"/>
              <w:left w:type="dxa" w:w="200"/>
              <w:bottom w:type="dxa" w:w="90"/>
              <w:right w:type="dxa" w:w="180"/>
            </w:tcMar>
          </w:tcPr>
          <w:p>
            <w:pPr>
              <w:spacing w:after="40" w:before="0"/>
            </w:pPr>
            <w:r>
              <w:rPr>
                <w:rFonts w:ascii="Arial" w:cs="Arial" w:eastAsia="Arial" w:hAnsi="Arial"/>
                <w:b/>
                <w:bCs/>
                <w:color w:val="5B2D8E"/>
                <w:spacing w:val="20"/>
                <w:sz w:val="17"/>
                <w:szCs w:val="17"/>
              </w:rPr>
              <w:t xml:space="preserve">WHERE DOES THIS METHOD COME FROM?</w:t>
            </w:r>
          </w:p>
          <w:p>
            <w:pPr>
              <w:spacing w:after="40" w:before="0" w:line="264"/>
            </w:pPr>
            <w:r>
              <w:rPr>
                <w:rFonts w:ascii="Arial" w:cs="Arial" w:eastAsia="Arial" w:hAnsi="Arial"/>
                <w:sz w:val="19"/>
                <w:szCs w:val="19"/>
              </w:rPr>
              <w:t xml:space="preserve">This method is loosely based on Fambul Tok, a community-level reconciliation process in Sierra Leone after the civil war. Fambul Tok is an organisation’s name; we therefore use our own name, bonfire dialogue. In the original process, consultation in the community comes first, followed by an evening gathering where people tell their story, and then joint activities. We do not adopt the ceremonial and religious parts of that process; we use only the sequence of consulting, telling, acknowledging and doing together.</w:t>
            </w:r>
          </w:p>
        </w:tc>
      </w:tr>
    </w:tbl>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Method inspired by: Fambul Tok (Sierra Leone); see Catalyst for Peace &amp; Fambul Tok Sierra Leone (n.d.). Adaptation and case: Moreel Vakmanschap, moreelvakmanschap.nl. Licence: CC BY-SA 4.0 – https://creativecommons.org/licenses/by-sa/4.0/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PROFESSORSHIP ETHICAL WORK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MW62 Listen first, then move on together (Student life, EN)</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