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rmorant Garamond" w:cs="Cormorant Garamond" w:eastAsia="Cormorant Garamond" w:hAnsi="Cormorant Garamond"/>
          <w:b/>
          <w:bCs/>
          <w:color w:val="1A2744"/>
          <w:sz w:val="44"/>
          <w:szCs w:val="44"/>
        </w:rPr>
        <w:t xml:space="preserve">BASIC WORK FORM</w:t>
      </w:r>
    </w:p>
    <w:p>
      <w:pPr>
        <w:spacing w:after="160"/>
      </w:pPr>
      <w:r>
        <w:rPr>
          <w:rFonts w:ascii="Cormorant Garamond" w:cs="Cormorant Garamond" w:eastAsia="Cormorant Garamond" w:hAnsi="Cormorant Garamond"/>
          <w:i/>
          <w:iCs/>
          <w:color w:val="534AB7"/>
          <w:sz w:val="30"/>
          <w:szCs w:val="30"/>
        </w:rPr>
        <w:t xml:space="preserve">Working with the conversation cards</w:t>
      </w:r>
    </w:p>
    <w:p>
      <w:pPr>
        <w:spacing w:after="260"/>
      </w:pPr>
      <w:r>
        <w:rPr>
          <w:rFonts w:ascii="DM Sans" w:cs="DM Sans" w:eastAsia="DM Sans" w:hAnsi="DM Sans"/>
          <w:i/>
          <w:iCs/>
          <w:color w:val="5F5E5A"/>
          <w:sz w:val="19"/>
          <w:szCs w:val="19"/>
        </w:rPr>
        <w:t xml:space="preserve">Short instructions for the teacher — start as a whole class, deepen in small groups, wrap up in plenary.</w:t>
      </w:r>
    </w:p>
    <w:tbl>
      <w:tblPr>
        <w:tblW w:type="dxa" w:w="1008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10080"/>
      </w:tblGrid>
      <w:tr>
        <w:tc>
          <w:tcPr>
            <w:tcW w:type="dxa" w:w="10080"/>
            <w:shd w:fill="F3F2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534AB7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0080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— </w:t>
            </w: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Students recognise a moral dilemma and learn to view it from multiple angles.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— </w:t>
            </w: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Students see which values are in conflict (rubbing against each other) in the situation.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— </w:t>
            </w: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Students choose a value and connect it to a concrete action.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10080"/>
      </w:tblGrid>
      <w:tr>
        <w:tc>
          <w:tcPr>
            <w:tcW w:type="dxa" w:w="10080"/>
            <w:shd w:fill="F3F2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185FA5"/>
                <w:sz w:val="20"/>
                <w:szCs w:val="20"/>
              </w:rPr>
              <w:t xml:space="preserve">Step 1 — Whole class — one card   ±15–20 min</w:t>
            </w:r>
          </w:p>
        </w:tc>
      </w:tr>
      <w:tr>
        <w:tc>
          <w:tcPr>
            <w:tcW w:type="dxa" w:w="10080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40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2744"/>
                <w:sz w:val="21"/>
                <w:szCs w:val="21"/>
              </w:rPr>
              <w:t xml:space="preserve">After a short introduction, project one conversation card via PowerPoint and lead a whole-group teaching dialogue. Work through the three questions in this order: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b/>
                <w:bCs/>
                <w:color w:val="185FA5"/>
                <w:sz w:val="21"/>
                <w:szCs w:val="21"/>
              </w:rPr>
              <w:t xml:space="preserve">1. Seeing — </w:t>
            </w:r>
            <w:r>
              <w:rPr>
                <w:rFonts w:ascii="DM Sans" w:cs="DM Sans" w:eastAsia="DM Sans" w:hAnsi="DM Sans"/>
                <w:i/>
                <w:iCs/>
                <w:color w:val="1A2744"/>
                <w:sz w:val="21"/>
                <w:szCs w:val="21"/>
              </w:rPr>
              <w:t xml:space="preserve">What do you see here? What is going on?</w:t>
            </w:r>
          </w:p>
          <w:p>
            <w:pPr>
              <w:spacing w:after="140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2744"/>
                <w:sz w:val="21"/>
                <w:szCs w:val="21"/>
              </w:rPr>
              <w:t xml:space="preserve">Let students add to each other’s readings, or offer different interpretations — this shows that one situation can be viewed from multiple sides.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b/>
                <w:bCs/>
                <w:color w:val="993556"/>
                <w:sz w:val="21"/>
                <w:szCs w:val="21"/>
              </w:rPr>
              <w:t xml:space="preserve">2. Weighing — </w:t>
            </w:r>
            <w:r>
              <w:rPr>
                <w:rFonts w:ascii="DM Sans" w:cs="DM Sans" w:eastAsia="DM Sans" w:hAnsi="DM Sans"/>
                <w:i/>
                <w:iCs/>
                <w:color w:val="1A2744"/>
                <w:sz w:val="21"/>
                <w:szCs w:val="21"/>
              </w:rPr>
              <w:t xml:space="preserve">What is at odds here? Which values are at play?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b/>
                <w:bCs/>
                <w:color w:val="0F6E56"/>
                <w:sz w:val="21"/>
                <w:szCs w:val="21"/>
              </w:rPr>
              <w:t xml:space="preserve">3. Acting — </w:t>
            </w:r>
            <w:r>
              <w:rPr>
                <w:rFonts w:ascii="DM Sans" w:cs="DM Sans" w:eastAsia="DM Sans" w:hAnsi="DM Sans"/>
                <w:i/>
                <w:iCs/>
                <w:color w:val="1A2744"/>
                <w:sz w:val="21"/>
                <w:szCs w:val="21"/>
              </w:rPr>
              <w:t xml:space="preserve">What would you do now? You can raise the stakes by inventing additional context as the conversation develops.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10080"/>
      </w:tblGrid>
      <w:tr>
        <w:tc>
          <w:tcPr>
            <w:tcW w:type="dxa" w:w="10080"/>
            <w:shd w:fill="F3F2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993556"/>
                <w:sz w:val="20"/>
                <w:szCs w:val="20"/>
              </w:rPr>
              <w:t xml:space="preserve">Step 2 — Group work — own card   ±15 min</w:t>
            </w:r>
          </w:p>
        </w:tc>
      </w:tr>
      <w:tr>
        <w:tc>
          <w:tcPr>
            <w:tcW w:type="dxa" w:w="10080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40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2744"/>
                <w:sz w:val="21"/>
                <w:szCs w:val="21"/>
              </w:rPr>
              <w:t xml:space="preserve">Divide the class into groups of four. Each group gets one card and discusses the same three questions among themselves (seeing / weighing / acting).</w:t>
            </w:r>
          </w:p>
          <w:p>
            <w:pPr>
              <w:spacing w:after="140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2744"/>
                <w:sz w:val="21"/>
                <w:szCs w:val="21"/>
              </w:rPr>
              <w:t xml:space="preserve">As the teacher, circulate among the tables. Occasionally make it a bit harder with a Socratic question, or briefly take the opposite position yourself.</w:t>
            </w:r>
          </w:p>
          <w:p>
            <w:pPr>
              <w:spacing w:after="140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2744"/>
                <w:sz w:val="21"/>
                <w:szCs w:val="21"/>
              </w:rPr>
              <w:t xml:space="preserve">Close this round after about fifteen minutes, or as soon as the tables grow quieter.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10080"/>
      </w:tblGrid>
      <w:tr>
        <w:tc>
          <w:tcPr>
            <w:tcW w:type="dxa" w:w="10080"/>
            <w:shd w:fill="F3F2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0F6E56"/>
                <w:sz w:val="20"/>
                <w:szCs w:val="20"/>
              </w:rPr>
              <w:t xml:space="preserve">Step 3 — Plenary — discussion   ±15–20 min</w:t>
            </w:r>
          </w:p>
        </w:tc>
      </w:tr>
      <w:tr>
        <w:tc>
          <w:tcPr>
            <w:tcW w:type="dxa" w:w="10080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40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2744"/>
                <w:sz w:val="21"/>
                <w:szCs w:val="21"/>
              </w:rPr>
              <w:t xml:space="preserve">Have each group briefly explain what they think was going on. Ask follow-up questions yourself, or let the rest of the class do so. Then work through the follow-up questions per group: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— </w:t>
            </w: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Which values clash here?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— </w:t>
            </w: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Which value do you choose? Why?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— </w:t>
            </w: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What would you do now?</w:t>
            </w:r>
          </w:p>
          <w:p>
            <w:pPr>
              <w:spacing w:after="80"/>
            </w:pP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— </w:t>
            </w:r>
            <w:r>
              <w:rPr>
                <w:rFonts w:ascii="DM Sans" w:cs="DM Sans" w:eastAsia="DM Sans" w:hAnsi="DM Sans"/>
                <w:color w:val="1A2744"/>
                <w:sz w:val="21"/>
                <w:szCs w:val="21"/>
              </w:rPr>
              <w:t xml:space="preserve">Does the rest of the class agree?</w:t>
            </w:r>
          </w:p>
        </w:tc>
      </w:tr>
    </w:tbl>
    <w:p>
      <w:pPr>
        <w:spacing w:after="260"/>
      </w:pPr>
    </w:p>
    <w:tbl>
      <w:tblPr>
        <w:tblW w:type="dxa" w:w="10080"/>
        <w:tblBorders>
          <w:top w:val="single" w:color="D3D1C7" w:sz="4"/>
          <w:left w:val="single" w:color="D3D1C7" w:sz="4"/>
          <w:bottom w:val="single" w:color="D3D1C7" w:sz="4"/>
          <w:right w:val="single" w:color="D3D1C7" w:sz="4"/>
          <w:insideH w:val="single" w:color="D3D1C7" w:sz="4"/>
          <w:insideV w:val="single" w:color="D3D1C7" w:sz="4"/>
        </w:tblBorders>
      </w:tblPr>
      <w:tblGrid>
        <w:gridCol w:w="10080"/>
      </w:tblGrid>
      <w:tr>
        <w:tc>
          <w:tcPr>
            <w:tcW w:type="dxa" w:w="10080"/>
            <w:shd w:fill="F3F2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854F0B"/>
                <w:sz w:val="20"/>
                <w:szCs w:val="20"/>
              </w:rPr>
              <w:t xml:space="preserve">Tip for the teacher</w:t>
            </w:r>
          </w:p>
        </w:tc>
      </w:tr>
      <w:tr>
        <w:tc>
          <w:tcPr>
            <w:tcW w:type="dxa" w:w="10080"/>
            <w:shd w:fill="FBF1E4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A2744"/>
                <w:sz w:val="21"/>
                <w:szCs w:val="21"/>
              </w:rPr>
              <w:t xml:space="preserve">Stay as questioning as possible for as long as you can, rather than directive. The goal is not one right answer, but for students to learn — out loud — to weigh between values, and to notice that classmates sometimes see it differently.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27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2026-09-11T13:00:48.585Z</dcterms:created>
  <dcterms:modified xsi:type="dcterms:W3CDTF">2026-09-11T13:00:48.585Z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