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18"/>
                <w:szCs w:val="18"/>
              </w:rPr>
              <w:t xml:space="preserve">Fontys
Research Group on
Ethical Practice</w:t>
            </w:r>
          </w:p>
        </w:tc>
        <w:tc>
          <w:tcPr>
            <w:tcW w:type="dxa" w:w="636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pPr>
            <w:r>
              <w:rPr>
                <w:rFonts w:ascii="Calibri" w:cs="Calibri" w:eastAsia="Calibri" w:hAnsi="Calibri"/>
                <w:b/>
                <w:bCs/>
                <w:color w:val="FFFFFF"/>
                <w:sz w:val="26"/>
                <w:szCs w:val="26"/>
              </w:rPr>
              <w:t xml:space="preserve">The Intersectionality Audit</w:t>
            </w:r>
          </w:p>
          <w:p>
            <w:pPr>
              <w:spacing w:after="40" w:before="40"/>
            </w:pPr>
            <w:r>
              <w:rPr>
                <w:rFonts w:ascii="Calibri" w:cs="Calibri" w:eastAsia="Calibri" w:hAnsi="Calibri"/>
                <w:color w:val="CCDDEE"/>
                <w:sz w:val="18"/>
                <w:szCs w:val="18"/>
              </w:rPr>
              <w:t xml:space="preserve">Moral Craftsmanship Series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Name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Date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Programme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Class / Group</w:t>
            </w:r>
          </w:p>
        </w:tc>
      </w:tr>
      <w:tr>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2"/>
                <w:szCs w:val="22"/>
              </w:rPr>
              <w:t xml:space="preserve">Power  ·  Position  ·  Blind Spots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1  </w:t>
            </w:r>
          </w:p>
          <w:p>
            <w:pPr>
              <w:spacing w:after="40" w:before="40"/>
            </w:pPr>
            <w:r>
              <w:rPr>
                <w:rFonts w:ascii="Calibri" w:cs="Calibri" w:eastAsia="Calibri" w:hAnsi="Calibri"/>
                <w:b/>
                <w:bCs/>
                <w:color w:val="FFFFFF"/>
                <w:sz w:val="22"/>
                <w:szCs w:val="22"/>
              </w:rPr>
              <w:t xml:space="preserve">Instructions</w:t>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This instrument helps you look beyond visible diversity alone. Use the overview to form a picture of your position in relation to power and privilege — and to analyse how this plays out in professional decisions.</w:t>
      </w:r>
    </w:p>
    <w:p>
      <w:pPr>
        <w:spacing w:after="80" w:before="80"/>
      </w:pPr>
      <w:r>
        <w:t xml:space="preserve"/>
      </w:r>
    </w:p>
    <w:p>
      <w:pPr>
        <w:spacing w:after="60" w:before="60"/>
      </w:pPr>
      <w:r>
        <w:rPr>
          <w:rFonts w:ascii="Calibri" w:cs="Calibri" w:eastAsia="Calibri" w:hAnsi="Calibri"/>
          <w:b w:val="false"/>
          <w:bCs w:val="false"/>
          <w:color w:val="000000"/>
          <w:sz w:val="20"/>
          <w:szCs w:val="20"/>
        </w:rPr>
        <w:t xml:space="preserve">Method:</w:t>
      </w:r>
    </w:p>
    <w:p>
      <w:pPr>
        <w:pStyle w:val="ListParagraph"/>
        <w:numPr>
          <w:ilvl w:val="0"/>
          <w:numId w:val="2"/>
        </w:numPr>
        <w:spacing w:after="40" w:before="40"/>
      </w:pPr>
      <w:r>
        <w:rPr>
          <w:rFonts w:ascii="Calibri" w:cs="Calibri" w:eastAsia="Calibri" w:hAnsi="Calibri"/>
          <w:sz w:val="20"/>
          <w:szCs w:val="20"/>
        </w:rPr>
        <w:t xml:space="preserve">Look at your own position and background</w:t>
      </w:r>
    </w:p>
    <w:p>
      <w:pPr>
        <w:pStyle w:val="ListParagraph"/>
        <w:numPr>
          <w:ilvl w:val="0"/>
          <w:numId w:val="2"/>
        </w:numPr>
        <w:spacing w:after="40" w:before="40"/>
      </w:pPr>
      <w:r>
        <w:rPr>
          <w:rFonts w:ascii="Calibri" w:cs="Calibri" w:eastAsia="Calibri" w:hAnsi="Calibri"/>
          <w:sz w:val="20"/>
          <w:szCs w:val="20"/>
        </w:rPr>
        <w:t xml:space="preserve">Indicate where the centre of gravity of your position lies per axis by circling the relevant column</w:t>
      </w:r>
    </w:p>
    <w:p>
      <w:pPr>
        <w:pStyle w:val="ListParagraph"/>
        <w:numPr>
          <w:ilvl w:val="0"/>
          <w:numId w:val="2"/>
        </w:numPr>
        <w:spacing w:after="40" w:before="40"/>
      </w:pPr>
      <w:r>
        <w:rPr>
          <w:rFonts w:ascii="Calibri" w:cs="Calibri" w:eastAsia="Calibri" w:hAnsi="Calibri"/>
          <w:sz w:val="20"/>
          <w:szCs w:val="20"/>
        </w:rPr>
        <w:t xml:space="preserve">Use the completed wheel afterwards as the basis for the reflection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2  </w:t>
            </w:r>
          </w:p>
          <w:p>
            <w:pPr>
              <w:spacing w:after="40" w:before="40"/>
            </w:pPr>
            <w:r>
              <w:rPr>
                <w:rFonts w:ascii="Calibri" w:cs="Calibri" w:eastAsia="Calibri" w:hAnsi="Calibri"/>
                <w:b/>
                <w:bCs/>
                <w:color w:val="FFFFFF"/>
                <w:sz w:val="22"/>
                <w:szCs w:val="22"/>
              </w:rPr>
              <w:t xml:space="preserve">The Intersectionality Wheel</w:t>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Note your position per axis: C = Centre of Power (dominant group) | M = Middle Zone | E = Edge Zone (marginalised group)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Axis / Dimension</w:t>
            </w:r>
          </w:p>
        </w:tc>
        <w:tc>
          <w:tcPr>
            <w:tcW w:type="dxa" w:w="212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Centre of Power</w:t>
            </w:r>
          </w:p>
        </w:tc>
        <w:tc>
          <w:tcPr>
            <w:tcW w:type="dxa" w:w="212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Middle Zone</w:t>
            </w:r>
          </w:p>
        </w:tc>
        <w:tc>
          <w:tcPr>
            <w:tcW w:type="dxa" w:w="212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Edge Zone</w:t>
            </w:r>
          </w:p>
        </w:tc>
      </w:tr>
      <w:tr>
        <w:tc>
          <w:tcPr>
            <w:tcW w:type="dxa" w:w="300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Gender</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Male / Cis</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Non-binary</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Female / Trans</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Ethnicity</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White / Western</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Mixed</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Non-Western</w:t>
            </w:r>
          </w:p>
        </w:tc>
      </w:tr>
      <w:tr>
        <w:tc>
          <w:tcPr>
            <w:tcW w:type="dxa" w:w="300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Socioeconomic class</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High</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Middle</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Low / Poor</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Education</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Academic</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HBO</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MBO or lower</w:t>
            </w:r>
          </w:p>
        </w:tc>
      </w:tr>
      <w:tr>
        <w:tc>
          <w:tcPr>
            <w:tcW w:type="dxa" w:w="300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Religion / Worldview</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Secularised</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Mixed</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Devout (minority)</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Sexuality</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Heterosexual</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Bisexual</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LGBTQ+</w:t>
            </w:r>
          </w:p>
        </w:tc>
      </w:tr>
      <w:tr>
        <w:tc>
          <w:tcPr>
            <w:tcW w:type="dxa" w:w="300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Physical ability</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No disability</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Mild disability</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Chronic / Disability</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Age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30–55 (dominant)</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Young adult</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Very young / Old</w:t>
            </w:r>
          </w:p>
        </w:tc>
      </w:tr>
      <w:tr>
        <w:tc>
          <w:tcPr>
            <w:tcW w:type="dxa" w:w="300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Neurodiversity</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Neurotypical</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Variable</w:t>
            </w:r>
          </w:p>
        </w:tc>
        <w:tc>
          <w:tcPr>
            <w:tcW w:type="dxa" w:w="212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Neurodiverse (ADHD etc.)</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Nationality / Residence status</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Born NL</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EU citizen</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Migrant / Refugee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3  </w:t>
            </w:r>
          </w:p>
          <w:p>
            <w:pPr>
              <w:spacing w:after="40" w:before="40"/>
            </w:pPr>
            <w:r>
              <w:rPr>
                <w:rFonts w:ascii="Calibri" w:cs="Calibri" w:eastAsia="Calibri" w:hAnsi="Calibri"/>
                <w:b/>
                <w:bCs/>
                <w:color w:val="FFFFFF"/>
                <w:sz w:val="22"/>
                <w:szCs w:val="22"/>
              </w:rPr>
              <w:t xml:space="preserve">Reflection Questions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R1</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The dominant group
Which 3 to 5 axes stand out most in the Centre of Power? To what extent do you meet these criteria? What advantages does that give you that you may not always notice?</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R2</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Blind spots
On which axes do you see no position in the Edge Zone? Which experiences or perspectives might therefore be outside your field of vision?</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R3</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Case — Samira's promotion
Use the wheel to analyse the case: fill in the table for both Mark and Samira. Which 'checkboxes' does Mark have that Samira lacks? Is 'cultural fit' an objective criterion or a form of exclusion?</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R4</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HR intervention
Write the response you as an HR professional would give in the management team meeting to make the blind spots discussable. Be concrete: what do you say, how, and what do you want to achieve?</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Calibri" w:cs="Calibri" w:eastAsia="Calibri" w:hAnsi="Calibri"/>
                <w:b/>
                <w:bCs/>
                <w:color w:val="003366"/>
                <w:sz w:val="18"/>
                <w:szCs w:val="18"/>
              </w:rPr>
              <w:t xml:space="preserve">Note for the teacher  </w:t>
            </w:r>
          </w:p>
          <w:p>
            <w:pPr>
              <w:spacing w:after="40" w:before="40"/>
            </w:pPr>
            <w:r>
              <w:rPr>
                <w:rFonts w:ascii="Calibri" w:cs="Calibri" w:eastAsia="Calibri" w:hAnsi="Calibri"/>
                <w:color w:val="5f5e5a"/>
                <w:sz w:val="18"/>
                <w:szCs w:val="18"/>
              </w:rPr>
              <w:t xml:space="preserve">The intersectionality audit can be confronting for students who become aware of their own privilege for the first time. Normalise that awareness does not mean guilt. The goal is to expand the professional action repertoire.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5f5e5a"/>
                <w:sz w:val="16"/>
                <w:szCs w:val="16"/>
              </w:rPr>
              <w:t xml:space="preserve">© Fontys University of Applied Sciences — Research Group on Ethical Practice — Moral Craftsmanship Series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2026-06-10T07:57:40.708Z</dcterms:created>
  <dcterms:modified xsi:type="dcterms:W3CDTF">2026-06-10T07:57:40.708Z</dcterms:modified>
</cp:coreProperties>
</file>

<file path=docProps/custom.xml><?xml version="1.0" encoding="utf-8"?>
<Properties xmlns="http://schemas.openxmlformats.org/officeDocument/2006/custom-properties" xmlns:vt="http://schemas.openxmlformats.org/officeDocument/2006/docPropsVTypes"/>
</file>