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18"/>
                <w:szCs w:val="18"/>
              </w:rPr>
              <w:t xml:space="preserve">Fontys
Research Group on
Ethical Practice</w:t>
            </w:r>
          </w:p>
        </w:tc>
        <w:tc>
          <w:tcPr>
            <w:tcW w:type="dxa" w:w="636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pPr>
            <w:r>
              <w:rPr>
                <w:rFonts w:ascii="Calibri" w:cs="Calibri" w:eastAsia="Calibri" w:hAnsi="Calibri"/>
                <w:b/>
                <w:bCs/>
                <w:color w:val="FFFFFF"/>
                <w:sz w:val="26"/>
                <w:szCs w:val="26"/>
              </w:rPr>
              <w:t xml:space="preserve">The Johari Window</w:t>
            </w:r>
          </w:p>
          <w:p>
            <w:pPr>
              <w:spacing w:after="40" w:before="40"/>
            </w:pPr>
            <w:r>
              <w:rPr>
                <w:rFonts w:ascii="Calibri" w:cs="Calibri" w:eastAsia="Calibri" w:hAnsi="Calibri"/>
                <w:color w:val="CCDDEE"/>
                <w:sz w:val="18"/>
                <w:szCs w:val="18"/>
              </w:rPr>
              <w:t xml:space="preserve">Moral Craftsmanship Series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Name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Date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Programme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Class / Group</w:t>
            </w:r>
          </w:p>
        </w:tc>
      </w:tr>
      <w:tr>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2"/>
                <w:szCs w:val="22"/>
              </w:rPr>
              <w:t xml:space="preserve">Self-Knowledge  ·  Blind Spots  ·  Feedback  ·  Professional Growth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1  </w:t>
            </w:r>
          </w:p>
          <w:p>
            <w:pPr>
              <w:spacing w:after="40" w:before="40"/>
            </w:pPr>
            <w:r>
              <w:rPr>
                <w:rFonts w:ascii="Calibri" w:cs="Calibri" w:eastAsia="Calibri" w:hAnsi="Calibri"/>
                <w:b/>
                <w:bCs/>
                <w:color w:val="FFFFFF"/>
                <w:sz w:val="22"/>
                <w:szCs w:val="22"/>
              </w:rPr>
              <w:t xml:space="preserve">Theoretical Background — The Johari Window</w:t>
            </w:r>
          </w:p>
        </w:tc>
      </w:tr>
    </w:tbl>
    <w:p>
      <w:pPr>
        <w:spacing w:after="80" w:before="80"/>
      </w:pPr>
      <w:r>
        <w:t xml:space="preserve"/>
      </w:r>
    </w:p>
    <w:p>
      <w:pPr>
        <w:spacing w:after="60" w:before="60"/>
      </w:pPr>
      <w:r>
        <w:rPr>
          <w:rFonts w:ascii="Calibri" w:cs="Calibri" w:eastAsia="Calibri" w:hAnsi="Calibri"/>
          <w:b/>
          <w:bCs/>
          <w:color w:val="000000"/>
          <w:sz w:val="20"/>
          <w:szCs w:val="20"/>
        </w:rPr>
        <w:t xml:space="preserve">What is the Johari Window?</w:t>
      </w:r>
    </w:p>
    <w:p>
      <w:pPr>
        <w:spacing w:after="60" w:before="60"/>
      </w:pPr>
      <w:r>
        <w:rPr>
          <w:rFonts w:ascii="Calibri" w:cs="Calibri" w:eastAsia="Calibri" w:hAnsi="Calibri"/>
          <w:b w:val="false"/>
          <w:bCs w:val="false"/>
          <w:color w:val="000000"/>
          <w:sz w:val="20"/>
          <w:szCs w:val="20"/>
        </w:rPr>
        <w:t xml:space="preserve">The Johari Window is a model for self-awareness and interpersonal communication, developed by the American psychologists Joseph Luft and Harry Ingham in 1955. The name is a combination of their first names: Jo-seph and Har-ry.</w:t>
      </w:r>
    </w:p>
    <w:p>
      <w:pPr>
        <w:spacing w:after="60" w:before="60"/>
      </w:pPr>
      <w:r>
        <w:rPr>
          <w:rFonts w:ascii="Calibri" w:cs="Calibri" w:eastAsia="Calibri" w:hAnsi="Calibri"/>
          <w:b w:val="false"/>
          <w:bCs w:val="false"/>
          <w:color w:val="000000"/>
          <w:sz w:val="20"/>
          <w:szCs w:val="20"/>
        </w:rPr>
        <w:t xml:space="preserve">The model states that our self-awareness consists of four windows (quadrants), determined by two questions:</w:t>
      </w:r>
    </w:p>
    <w:p>
      <w:pPr>
        <w:pStyle w:val="ListParagraph"/>
        <w:numPr>
          <w:ilvl w:val="0"/>
          <w:numId w:val="2"/>
        </w:numPr>
        <w:spacing w:after="40" w:before="40"/>
      </w:pPr>
      <w:r>
        <w:rPr>
          <w:rFonts w:ascii="Calibri" w:cs="Calibri" w:eastAsia="Calibri" w:hAnsi="Calibri"/>
          <w:sz w:val="20"/>
          <w:szCs w:val="20"/>
        </w:rPr>
        <w:t xml:space="preserve">What is known to YOU YOURSELF?</w:t>
      </w:r>
    </w:p>
    <w:p>
      <w:pPr>
        <w:pStyle w:val="ListParagraph"/>
        <w:numPr>
          <w:ilvl w:val="0"/>
          <w:numId w:val="2"/>
        </w:numPr>
        <w:spacing w:after="40" w:before="40"/>
      </w:pPr>
      <w:r>
        <w:rPr>
          <w:rFonts w:ascii="Calibri" w:cs="Calibri" w:eastAsia="Calibri" w:hAnsi="Calibri"/>
          <w:sz w:val="20"/>
          <w:szCs w:val="20"/>
        </w:rPr>
        <w:t xml:space="preserve">What is known to OTHERS?</w:t>
      </w:r>
    </w:p>
    <w:p>
      <w:pPr>
        <w:spacing w:after="60" w:before="60"/>
      </w:pPr>
      <w:r>
        <w:rPr>
          <w:rFonts w:ascii="Calibri" w:cs="Calibri" w:eastAsia="Calibri" w:hAnsi="Calibri"/>
          <w:b w:val="false"/>
          <w:bCs w:val="false"/>
          <w:color w:val="000000"/>
          <w:sz w:val="20"/>
          <w:szCs w:val="20"/>
        </w:rPr>
        <w:t xml:space="preserve">The model is used in team development, coaching, leadership training and professional identity development — precisely the context in which you as an emerging professional will find yourself.</w:t>
      </w:r>
    </w:p>
    <w:p>
      <w:pPr>
        <w:spacing w:after="80" w:before="80"/>
      </w:pPr>
      <w:r>
        <w:t xml:space="preserve"/>
      </w:r>
    </w:p>
    <w:p>
      <w:pPr>
        <w:spacing w:after="60" w:before="60"/>
      </w:pPr>
      <w:r>
        <w:rPr>
          <w:rFonts w:ascii="Calibri" w:cs="Calibri" w:eastAsia="Calibri" w:hAnsi="Calibri"/>
          <w:b/>
          <w:bCs/>
          <w:color w:val="000000"/>
          <w:sz w:val="20"/>
          <w:szCs w:val="20"/>
        </w:rPr>
        <w:t xml:space="preserve">How do you expand the Open Area?</w:t>
      </w:r>
    </w:p>
    <w:p>
      <w:pPr>
        <w:spacing w:after="60" w:before="60"/>
      </w:pPr>
      <w:r>
        <w:rPr>
          <w:rFonts w:ascii="Calibri" w:cs="Calibri" w:eastAsia="Calibri" w:hAnsi="Calibri"/>
          <w:b w:val="false"/>
          <w:bCs w:val="false"/>
          <w:color w:val="000000"/>
          <w:sz w:val="20"/>
          <w:szCs w:val="20"/>
        </w:rPr>
        <w:t xml:space="preserve">The Open Area grows in two ways:</w:t>
      </w:r>
    </w:p>
    <w:p>
      <w:pPr>
        <w:pStyle w:val="ListParagraph"/>
        <w:numPr>
          <w:ilvl w:val="0"/>
          <w:numId w:val="2"/>
        </w:numPr>
        <w:spacing w:after="40" w:before="40"/>
      </w:pPr>
      <w:r>
        <w:rPr>
          <w:rFonts w:ascii="Calibri" w:cs="Calibri" w:eastAsia="Calibri" w:hAnsi="Calibri"/>
          <w:sz w:val="20"/>
          <w:szCs w:val="20"/>
        </w:rPr>
        <w:t xml:space="preserve">Self-disclosure: you consciously share information about yourself → the Hidden Area shrinks</w:t>
      </w:r>
    </w:p>
    <w:p>
      <w:pPr>
        <w:pStyle w:val="ListParagraph"/>
        <w:numPr>
          <w:ilvl w:val="0"/>
          <w:numId w:val="2"/>
        </w:numPr>
        <w:spacing w:after="40" w:before="40"/>
      </w:pPr>
      <w:r>
        <w:rPr>
          <w:rFonts w:ascii="Calibri" w:cs="Calibri" w:eastAsia="Calibri" w:hAnsi="Calibri"/>
          <w:sz w:val="20"/>
          <w:szCs w:val="20"/>
        </w:rPr>
        <w:t xml:space="preserve">Receiving feedback: others give you honest feedback → the Blind Spot shrinks</w:t>
      </w:r>
    </w:p>
    <w:p>
      <w:pPr>
        <w:spacing w:after="60" w:before="60"/>
      </w:pPr>
      <w:r>
        <w:rPr>
          <w:rFonts w:ascii="Calibri" w:cs="Calibri" w:eastAsia="Calibri" w:hAnsi="Calibri"/>
          <w:b w:val="false"/>
          <w:bCs w:val="false"/>
          <w:color w:val="000000"/>
          <w:sz w:val="20"/>
          <w:szCs w:val="20"/>
        </w:rPr>
        <w:t xml:space="preserve">A large Open Area does not mean you share everything. It is about the right balance: authentic and professional. In helping professions this is a daily ethical consideration: how much of yourself do you share with a client?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2  </w:t>
            </w:r>
          </w:p>
          <w:p>
            <w:pPr>
              <w:spacing w:after="40" w:before="40"/>
            </w:pPr>
            <w:r>
              <w:rPr>
                <w:rFonts w:ascii="Calibri" w:cs="Calibri" w:eastAsia="Calibri" w:hAnsi="Calibri"/>
                <w:b/>
                <w:bCs/>
                <w:color w:val="FFFFFF"/>
                <w:sz w:val="22"/>
                <w:szCs w:val="22"/>
              </w:rPr>
              <w:t xml:space="preserve">Fill-in Exercise — Map Your Johari Window</w:t>
            </w:r>
          </w:p>
        </w:tc>
      </w:tr>
    </w:tbl>
    <w:p>
      <w:pPr>
        <w:spacing w:after="80" w:before="80"/>
      </w:pPr>
      <w:r>
        <w:t xml:space="preserve"/>
      </w:r>
    </w:p>
    <w:p>
      <w:pPr>
        <w:spacing w:after="60" w:before="60"/>
      </w:pPr>
      <w:r>
        <w:rPr>
          <w:rFonts w:ascii="Calibri" w:cs="Calibri" w:eastAsia="Calibri" w:hAnsi="Calibri"/>
          <w:b w:val="false"/>
          <w:bCs w:val="false"/>
          <w:color w:val="000000"/>
          <w:sz w:val="20"/>
          <w:szCs w:val="20"/>
        </w:rPr>
        <w:t xml:space="preserve">Note as concretely as possible which qualities, behaviours or feelings belong in each quadrant at this moment.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center"/>
            </w:pPr>
            <w:r>
              <w:rPr>
                <w:rFonts w:ascii="Calibri" w:cs="Calibri" w:eastAsia="Calibri" w:hAnsi="Calibri"/>
                <w:b/>
                <w:bCs/>
                <w:color w:val="000000"/>
                <w:sz w:val="20"/>
                <w:szCs w:val="20"/>
              </w:rPr>
              <w:t xml:space="preserve">Known to others</w:t>
            </w:r>
          </w:p>
        </w:tc>
        <w:tc>
          <w:tcPr>
            <w:tcW w:type="dxa" w:w="468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center"/>
            </w:pPr>
            <w:r>
              <w:rPr>
                <w:rFonts w:ascii="Calibri" w:cs="Calibri" w:eastAsia="Calibri" w:hAnsi="Calibri"/>
                <w:b/>
                <w:bCs/>
                <w:color w:val="000000"/>
                <w:sz w:val="20"/>
                <w:szCs w:val="20"/>
              </w:rPr>
              <w:t xml:space="preserve">Unknown to others</w:t>
            </w:r>
          </w:p>
        </w:tc>
      </w:tr>
      <w:tr>
        <w:tc>
          <w:tcPr>
            <w:tcW w:type="dxa" w:w="468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pPr>
            <w:r>
              <w:rPr>
                <w:rFonts w:ascii="Calibri" w:cs="Calibri" w:eastAsia="Calibri" w:hAnsi="Calibri"/>
                <w:b/>
                <w:bCs/>
                <w:color w:val="185fa5"/>
                <w:sz w:val="20"/>
                <w:szCs w:val="20"/>
              </w:rPr>
              <w:t xml:space="preserve">OPEN AREA</w:t>
            </w:r>
          </w:p>
          <w:p>
            <w:pPr>
              <w:spacing w:after="40" w:before="40"/>
            </w:pPr>
            <w:r>
              <w:rPr>
                <w:rFonts w:ascii="Calibri" w:cs="Calibri" w:eastAsia="Calibri" w:hAnsi="Calibri"/>
                <w:sz w:val="18"/>
                <w:szCs w:val="18"/>
              </w:rPr>
              <w:t xml:space="preserve">
(Arena)</w:t>
            </w:r>
          </w:p>
          <w:p>
            <w:pPr>
              <w:spacing w:after="40" w:before="40"/>
            </w:pPr>
            <w:r>
              <w:rPr>
                <w:rFonts w:ascii="Calibri" w:cs="Calibri" w:eastAsia="Calibri" w:hAnsi="Calibri"/>
                <w:sz w:val="18"/>
                <w:szCs w:val="18"/>
              </w:rPr>
              <w:t xml:space="preserve">
Known to yourself AND others. The larger this window, the more effective and authentic the communication.</w:t>
            </w:r>
          </w:p>
          <w:p>
            <w:pPr>
              <w:spacing w:after="40" w:before="40"/>
            </w:pPr>
            <w:r>
              <w:rPr>
                <w:rFonts w:ascii="Calibri" w:cs="Calibri" w:eastAsia="Calibri" w:hAnsi="Calibri"/>
                <w:sz w:val="18"/>
                <w:szCs w:val="18"/>
              </w:rPr>
              <w:t xml:space="preserve">
____________
____________
____________
____________</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b/>
                <w:bCs/>
                <w:color w:val="185fa5"/>
                <w:sz w:val="20"/>
                <w:szCs w:val="20"/>
              </w:rPr>
              <w:t xml:space="preserve">HIDDEN AREA</w:t>
            </w:r>
          </w:p>
          <w:p>
            <w:pPr>
              <w:spacing w:after="40" w:before="40"/>
            </w:pPr>
            <w:r>
              <w:rPr>
                <w:rFonts w:ascii="Calibri" w:cs="Calibri" w:eastAsia="Calibri" w:hAnsi="Calibri"/>
                <w:sz w:val="18"/>
                <w:szCs w:val="18"/>
              </w:rPr>
              <w:t xml:space="preserve">
(Façade)</w:t>
            </w:r>
          </w:p>
          <w:p>
            <w:pPr>
              <w:spacing w:after="40" w:before="40"/>
            </w:pPr>
            <w:r>
              <w:rPr>
                <w:rFonts w:ascii="Calibri" w:cs="Calibri" w:eastAsia="Calibri" w:hAnsi="Calibri"/>
                <w:sz w:val="18"/>
                <w:szCs w:val="18"/>
              </w:rPr>
              <w:t xml:space="preserve">
Known to yourself, unknown to others. Things you consciously keep hidden.</w:t>
            </w:r>
          </w:p>
          <w:p>
            <w:pPr>
              <w:spacing w:after="40" w:before="40"/>
            </w:pPr>
            <w:r>
              <w:rPr>
                <w:rFonts w:ascii="Calibri" w:cs="Calibri" w:eastAsia="Calibri" w:hAnsi="Calibri"/>
                <w:sz w:val="18"/>
                <w:szCs w:val="18"/>
              </w:rPr>
              <w:t xml:space="preserve">
____________
____________
____________
____________</w:t>
            </w:r>
          </w:p>
        </w:tc>
      </w:tr>
      <w:tr>
        <w:tc>
          <w:tcPr>
            <w:tcW w:type="dxa" w:w="468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Calibri" w:cs="Calibri" w:eastAsia="Calibri" w:hAnsi="Calibri"/>
                <w:b/>
                <w:bCs/>
                <w:color w:val="185fa5"/>
                <w:sz w:val="20"/>
                <w:szCs w:val="20"/>
              </w:rPr>
              <w:t xml:space="preserve">BLIND SPOT</w:t>
            </w:r>
          </w:p>
          <w:p>
            <w:pPr>
              <w:spacing w:after="40" w:before="40"/>
            </w:pPr>
            <w:r>
              <w:rPr>
                <w:rFonts w:ascii="Calibri" w:cs="Calibri" w:eastAsia="Calibri" w:hAnsi="Calibri"/>
                <w:sz w:val="18"/>
                <w:szCs w:val="18"/>
              </w:rPr>
              <w:t xml:space="preserve">
(Blind Area)</w:t>
            </w:r>
          </w:p>
          <w:p>
            <w:pPr>
              <w:spacing w:after="40" w:before="40"/>
            </w:pPr>
            <w:r>
              <w:rPr>
                <w:rFonts w:ascii="Calibri" w:cs="Calibri" w:eastAsia="Calibri" w:hAnsi="Calibri"/>
                <w:sz w:val="18"/>
                <w:szCs w:val="18"/>
              </w:rPr>
              <w:t xml:space="preserve">
Unknown to yourself, but known to others. Grows through receiving feedback.</w:t>
            </w:r>
          </w:p>
          <w:p>
            <w:pPr>
              <w:spacing w:after="40" w:before="40"/>
            </w:pPr>
            <w:r>
              <w:rPr>
                <w:rFonts w:ascii="Calibri" w:cs="Calibri" w:eastAsia="Calibri" w:hAnsi="Calibri"/>
                <w:sz w:val="18"/>
                <w:szCs w:val="18"/>
              </w:rPr>
              <w:t xml:space="preserve">
____________
____________
____________
____________</w:t>
            </w:r>
          </w:p>
        </w:tc>
        <w:tc>
          <w:tcPr>
            <w:tcW w:type="dxa" w:w="468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b/>
                <w:bCs/>
                <w:color w:val="185fa5"/>
                <w:sz w:val="20"/>
                <w:szCs w:val="20"/>
              </w:rPr>
              <w:t xml:space="preserve">UNKNOWN AREA</w:t>
            </w:r>
          </w:p>
          <w:p>
            <w:pPr>
              <w:spacing w:after="40" w:before="40"/>
            </w:pPr>
            <w:r>
              <w:rPr>
                <w:rFonts w:ascii="Calibri" w:cs="Calibri" w:eastAsia="Calibri" w:hAnsi="Calibri"/>
                <w:sz w:val="18"/>
                <w:szCs w:val="18"/>
              </w:rPr>
              <w:t xml:space="preserve">
(Unconscious)</w:t>
            </w:r>
          </w:p>
          <w:p>
            <w:pPr>
              <w:spacing w:after="40" w:before="40"/>
            </w:pPr>
            <w:r>
              <w:rPr>
                <w:rFonts w:ascii="Calibri" w:cs="Calibri" w:eastAsia="Calibri" w:hAnsi="Calibri"/>
                <w:sz w:val="18"/>
                <w:szCs w:val="18"/>
              </w:rPr>
              <w:t xml:space="preserve">
Unknown to yourself AND others. Latent talents, unconscious patterns.</w:t>
            </w:r>
          </w:p>
          <w:p>
            <w:pPr>
              <w:spacing w:after="40" w:before="40"/>
            </w:pPr>
            <w:r>
              <w:rPr>
                <w:rFonts w:ascii="Calibri" w:cs="Calibri" w:eastAsia="Calibri" w:hAnsi="Calibri"/>
                <w:sz w:val="18"/>
                <w:szCs w:val="18"/>
              </w:rPr>
              <w:t xml:space="preserve">
____________
____________
____________
____________</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First reflection
What strikes you when you compare your four windows? Which quadrant surprises you most?</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3  </w:t>
            </w:r>
          </w:p>
          <w:p>
            <w:pPr>
              <w:spacing w:after="40" w:before="40"/>
            </w:pPr>
            <w:r>
              <w:rPr>
                <w:rFonts w:ascii="Calibri" w:cs="Calibri" w:eastAsia="Calibri" w:hAnsi="Calibri"/>
                <w:b/>
                <w:bCs/>
                <w:color w:val="FFFFFF"/>
                <w:sz w:val="22"/>
                <w:szCs w:val="22"/>
              </w:rPr>
              <w:t xml:space="preserve">Reflection Questions — Towards Greater Self-Awareness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Q1</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Your Open Area in practice
Think of a recent professional situation. How large did your Open Area feel? Were there moments when you consciously hid something? What was the reason for that?</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Q2</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Receiving blind spots
Describe a moment when you received feedback that surprised or hurt you. What did the other person say about you that you did not see yourself? How did you respond? What would you do differently now?</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Q3</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What do you hide — and why?
What information about yourself do you consciously not share with colleagues or clients? What reasons play a role — fear, professional boundaries, shame? How does that relate to your professional role?</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Q4</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Ethical dilemma — Self-disclosure in the helping relationship
A client asks: "Have you ever experienced this yourself?" You have indeed experienced it. What do you do? When is self-disclosure helpful and when does it cross a boundary?</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Q5</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Growth step — What do you want to develop?
Which quadrant needs the most attention for you right now? Formulate one concrete growth step: what will you do, with whom, in which situation?</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4  </w:t>
            </w:r>
          </w:p>
          <w:p>
            <w:pPr>
              <w:spacing w:after="40" w:before="40"/>
            </w:pPr>
            <w:r>
              <w:rPr>
                <w:rFonts w:ascii="Calibri" w:cs="Calibri" w:eastAsia="Calibri" w:hAnsi="Calibri"/>
                <w:b/>
                <w:bCs/>
                <w:color w:val="FFFFFF"/>
                <w:sz w:val="22"/>
                <w:szCs w:val="22"/>
              </w:rPr>
              <w:t xml:space="preserve">Feedback Exercise — In pairs (20 minutes)</w:t>
            </w:r>
          </w:p>
        </w:tc>
      </w:tr>
    </w:tbl>
    <w:p>
      <w:pPr>
        <w:spacing w:after="80" w:before="80"/>
      </w:pPr>
      <w:r>
        <w:t xml:space="preserve"/>
      </w:r>
    </w:p>
    <w:p>
      <w:pPr>
        <w:spacing w:after="60" w:before="60"/>
      </w:pPr>
      <w:r>
        <w:rPr>
          <w:rFonts w:ascii="Calibri" w:cs="Calibri" w:eastAsia="Calibri" w:hAnsi="Calibri"/>
          <w:b/>
          <w:bCs/>
          <w:color w:val="000000"/>
          <w:sz w:val="20"/>
          <w:szCs w:val="20"/>
        </w:rPr>
        <w:t xml:space="preserve">Setup</w:t>
      </w:r>
    </w:p>
    <w:p>
      <w:pPr>
        <w:pStyle w:val="ListParagraph"/>
        <w:numPr>
          <w:ilvl w:val="0"/>
          <w:numId w:val="2"/>
        </w:numPr>
        <w:spacing w:after="40" w:before="40"/>
      </w:pPr>
      <w:r>
        <w:rPr>
          <w:rFonts w:ascii="Calibri" w:cs="Calibri" w:eastAsia="Calibri" w:hAnsi="Calibri"/>
          <w:sz w:val="20"/>
          <w:szCs w:val="20"/>
        </w:rPr>
        <w:t xml:space="preserve">Choose three qualities or behaviours you see as characteristic of yourself (Open Area). Share these with your partner.</w:t>
      </w:r>
    </w:p>
    <w:p>
      <w:pPr>
        <w:pStyle w:val="ListParagraph"/>
        <w:numPr>
          <w:ilvl w:val="0"/>
          <w:numId w:val="2"/>
        </w:numPr>
        <w:spacing w:after="40" w:before="40"/>
      </w:pPr>
      <w:r>
        <w:rPr>
          <w:rFonts w:ascii="Calibri" w:cs="Calibri" w:eastAsia="Calibri" w:hAnsi="Calibri"/>
          <w:sz w:val="20"/>
          <w:szCs w:val="20"/>
        </w:rPr>
        <w:t xml:space="preserve">Your partner gives honest, respectful feedback: do they recognise those qualities? And have they noticed something you did not mention? (Blind spot)</w:t>
      </w:r>
    </w:p>
    <w:p>
      <w:pPr>
        <w:pStyle w:val="ListParagraph"/>
        <w:numPr>
          <w:ilvl w:val="0"/>
          <w:numId w:val="2"/>
        </w:numPr>
        <w:spacing w:after="40" w:before="40"/>
      </w:pPr>
      <w:r>
        <w:rPr>
          <w:rFonts w:ascii="Calibri" w:cs="Calibri" w:eastAsia="Calibri" w:hAnsi="Calibri"/>
          <w:sz w:val="20"/>
          <w:szCs w:val="20"/>
        </w:rPr>
        <w:t xml:space="preserve">Swap roles.</w:t>
      </w:r>
    </w:p>
    <w:p>
      <w:pPr>
        <w:pStyle w:val="ListParagraph"/>
        <w:numPr>
          <w:ilvl w:val="0"/>
          <w:numId w:val="2"/>
        </w:numPr>
        <w:spacing w:after="40" w:before="40"/>
      </w:pPr>
      <w:r>
        <w:rPr>
          <w:rFonts w:ascii="Calibri" w:cs="Calibri" w:eastAsia="Calibri" w:hAnsi="Calibri"/>
          <w:sz w:val="20"/>
          <w:szCs w:val="20"/>
        </w:rPr>
        <w:t xml:space="preserve">Discuss together: what was it like to give and receive feedback? What made it easy or difficult?</w:t>
      </w:r>
    </w:p>
    <w:p>
      <w:pPr>
        <w:spacing w:after="80" w:before="80"/>
      </w:pPr>
      <w:r>
        <w:t xml:space="preserve"/>
      </w:r>
    </w:p>
    <w:p>
      <w:pPr>
        <w:spacing w:after="60" w:before="60"/>
      </w:pPr>
      <w:r>
        <w:rPr>
          <w:rFonts w:ascii="Calibri" w:cs="Calibri" w:eastAsia="Calibri" w:hAnsi="Calibri"/>
          <w:b w:val="false"/>
          <w:bCs w:val="false"/>
          <w:color w:val="000000"/>
          <w:sz w:val="20"/>
          <w:szCs w:val="20"/>
        </w:rPr>
        <w:t xml:space="preserve">Plenary reflection question:</w:t>
      </w:r>
    </w:p>
    <w:p>
      <w:pPr>
        <w:spacing w:after="60" w:before="60"/>
      </w:pPr>
      <w:r>
        <w:rPr>
          <w:rFonts w:ascii="Calibri" w:cs="Calibri" w:eastAsia="Calibri" w:hAnsi="Calibri"/>
          <w:b w:val="false"/>
          <w:bCs w:val="false"/>
          <w:color w:val="000000"/>
          <w:sz w:val="20"/>
          <w:szCs w:val="20"/>
        </w:rPr>
        <w:t xml:space="preserve">What is needed in a professional relationship to be able to give and receive feedback safely? How do you as a professional create that safety?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Literature &amp; Sources  </w:t>
            </w:r>
          </w:p>
          <w:p>
            <w:pPr>
              <w:spacing w:after="40" w:before="40"/>
            </w:pPr>
            <w:r>
              <w:rPr>
                <w:rFonts w:ascii="Calibri" w:cs="Calibri" w:eastAsia="Calibri" w:hAnsi="Calibri"/>
                <w:b/>
                <w:bCs/>
                <w:color w:val="FFFFFF"/>
                <w:sz w:val="22"/>
                <w:szCs w:val="22"/>
              </w:rPr>
              <w:t xml:space="preserve"/>
            </w:r>
          </w:p>
        </w:tc>
      </w:tr>
    </w:tbl>
    <w:p>
      <w:pPr>
        <w:spacing w:after="80" w:before="80"/>
      </w:pPr>
      <w:r>
        <w:t xml:space="preserve"/>
      </w:r>
    </w:p>
    <w:p>
      <w:pPr>
        <w:spacing w:after="60" w:before="60"/>
      </w:pPr>
      <w:r>
        <w:rPr>
          <w:rFonts w:ascii="Calibri" w:cs="Calibri" w:eastAsia="Calibri" w:hAnsi="Calibri"/>
          <w:b w:val="false"/>
          <w:bCs w:val="false"/>
          <w:color w:val="000000"/>
          <w:sz w:val="20"/>
          <w:szCs w:val="20"/>
        </w:rPr>
        <w:t xml:space="preserve">Luft, J. &amp; Ingham, H. (1955). The Johari window: A graphic model of interpersonal awareness. Proceedings of the Western Training Laboratory in Group Development. UCLA.</w:t>
      </w:r>
    </w:p>
    <w:p>
      <w:pPr>
        <w:spacing w:after="60" w:before="60"/>
      </w:pPr>
      <w:r>
        <w:rPr>
          <w:rFonts w:ascii="Calibri" w:cs="Calibri" w:eastAsia="Calibri" w:hAnsi="Calibri"/>
          <w:b w:val="false"/>
          <w:bCs w:val="false"/>
          <w:color w:val="000000"/>
          <w:sz w:val="20"/>
          <w:szCs w:val="20"/>
        </w:rPr>
        <w:t xml:space="preserve">Luft, J. (1969). Of Human Interaction. National Press Books.</w:t>
      </w:r>
    </w:p>
    <w:p>
      <w:pPr>
        <w:spacing w:after="60" w:before="60"/>
      </w:pPr>
      <w:r>
        <w:rPr>
          <w:rFonts w:ascii="Calibri" w:cs="Calibri" w:eastAsia="Calibri" w:hAnsi="Calibri"/>
          <w:b w:val="false"/>
          <w:bCs w:val="false"/>
          <w:color w:val="000000"/>
          <w:sz w:val="20"/>
          <w:szCs w:val="20"/>
        </w:rPr>
        <w:t xml:space="preserve">Covey, S.R. (1989). The 7 Habits of Highly Effective People. Simon &amp; Schuster.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Calibri" w:cs="Calibri" w:eastAsia="Calibri" w:hAnsi="Calibri"/>
                <w:b/>
                <w:bCs/>
                <w:color w:val="003366"/>
                <w:sz w:val="18"/>
                <w:szCs w:val="18"/>
              </w:rPr>
              <w:t xml:space="preserve">Note for the teacher  </w:t>
            </w:r>
          </w:p>
          <w:p>
            <w:pPr>
              <w:spacing w:after="40" w:before="40"/>
            </w:pPr>
            <w:r>
              <w:rPr>
                <w:rFonts w:ascii="Calibri" w:cs="Calibri" w:eastAsia="Calibri" w:hAnsi="Calibri"/>
                <w:color w:val="5f5e5a"/>
                <w:sz w:val="18"/>
                <w:szCs w:val="18"/>
              </w:rPr>
              <w:t xml:space="preserve">This worksheet asks for personal, sometimes vulnerable information — particularly around the Hidden Area and the Blind Spot. Create a safe learning environment and emphasise that the fill-in exercise (section 2) is not assessed on content. The feedback exercise requires a foundation of trust: discuss beforehand what respectful feedback entails.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5f5e5a"/>
                <w:sz w:val="16"/>
                <w:szCs w:val="16"/>
              </w:rPr>
              <w:t xml:space="preserve">© Fontys University of Applied Sciences — Research Group on Ethical Practice — Moral Craftsmanship Series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2026-06-10T07:57:40.870Z</dcterms:created>
  <dcterms:modified xsi:type="dcterms:W3CDTF">2026-06-10T07:57:40.870Z</dcterms:modified>
</cp:coreProperties>
</file>

<file path=docProps/custom.xml><?xml version="1.0" encoding="utf-8"?>
<Properties xmlns="http://schemas.openxmlformats.org/officeDocument/2006/custom-properties" xmlns:vt="http://schemas.openxmlformats.org/officeDocument/2006/docPropsVTypes"/>
</file>