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2880"/>
        <w:gridCol w:w="2880"/>
        <w:gridCol w:w="2880"/>
      </w:tblGrid>
      <w:tr>
        <w:tc>
          <w:tcPr>
            <w:tcW w:type="dxa" w:w="2880"/>
          </w:tcPr>
          <w:p>
            <w:r>
              <w:rPr>
                <w:b w:val="0"/>
                <w:i w:val="0"/>
                <w:color w:val="5F5E5A"/>
                <w:sz w:val="18"/>
              </w:rPr>
              <w:t>Fontys Lectoraat Ethisch Werken</w:t>
            </w:r>
          </w:p>
        </w:tc>
        <w:tc>
          <w:tcPr>
            <w:tcW w:type="dxa" w:w="2880"/>
          </w:tcPr>
          <w:p>
            <w:r>
              <w:rPr>
                <w:b/>
                <w:i w:val="0"/>
                <w:color w:val="1F2D54"/>
                <w:sz w:val="22"/>
              </w:rPr>
              <w:t>MV_20  —  Four Work Forms with Conversation Cards</w:t>
            </w:r>
            <w:r>
              <w:br/>
            </w:r>
            <w:r>
              <w:rPr>
                <w:b w:val="0"/>
                <w:i w:val="0"/>
                <w:color w:val="1F2D54"/>
                <w:sz w:val="20"/>
              </w:rPr>
              <w:t>Moral Craftsmanship Series</w:t>
            </w:r>
          </w:p>
        </w:tc>
        <w:tc>
          <w:tcPr>
            <w:tcW w:type="dxa" w:w="2880"/>
          </w:tcPr>
          <w:p>
            <w:r>
              <w:rPr>
                <w:b w:val="0"/>
                <w:i w:val="0"/>
                <w:color w:val="5F5E5A"/>
                <w:sz w:val="18"/>
              </w:rPr>
              <w:t>Seeing · Feeling · Weighing · Acting</w:t>
            </w:r>
          </w:p>
        </w:tc>
      </w:tr>
    </w:tbl>
    <w:p/>
    <w:tbl>
      <w:tblPr>
        <w:tblW w:type="auto" w:w="0"/>
        <w:tblLook w:firstColumn="1" w:firstRow="1" w:lastColumn="0" w:lastRow="0" w:noHBand="0" w:noVBand="1" w:val="04A0"/>
      </w:tblPr>
      <w:tblGrid>
        <w:gridCol w:w="2160"/>
        <w:gridCol w:w="2160"/>
        <w:gridCol w:w="2160"/>
        <w:gridCol w:w="2160"/>
      </w:tblGrid>
      <w:tr>
        <w:tc>
          <w:tcPr>
            <w:tcW w:type="dxa" w:w="2160"/>
          </w:tcPr>
          <w:p>
            <w:r>
              <w:rPr>
                <w:b/>
                <w:i w:val="0"/>
                <w:color w:val="1F2D54"/>
                <w:sz w:val="20"/>
              </w:rPr>
              <w:t>Name</w:t>
            </w:r>
          </w:p>
        </w:tc>
        <w:tc>
          <w:tcPr>
            <w:tcW w:type="dxa" w:w="2160"/>
          </w:tcPr>
          <w:p>
            <w:r>
              <w:rPr>
                <w:b/>
                <w:i w:val="0"/>
                <w:color w:val="1F2D54"/>
                <w:sz w:val="20"/>
              </w:rPr>
              <w:t>Date</w:t>
            </w:r>
          </w:p>
        </w:tc>
        <w:tc>
          <w:tcPr>
            <w:tcW w:type="dxa" w:w="2160"/>
          </w:tcPr>
          <w:p>
            <w:r>
              <w:rPr>
                <w:b/>
                <w:i w:val="0"/>
                <w:color w:val="1F2D54"/>
                <w:sz w:val="20"/>
              </w:rPr>
              <w:t>Programme</w:t>
            </w:r>
          </w:p>
        </w:tc>
        <w:tc>
          <w:tcPr>
            <w:tcW w:type="dxa" w:w="2160"/>
          </w:tcPr>
          <w:p>
            <w:r>
              <w:rPr>
                <w:b/>
                <w:i w:val="0"/>
                <w:color w:val="1F2D54"/>
                <w:sz w:val="20"/>
              </w:rPr>
              <w:t>Class / Group</w:t>
            </w:r>
          </w:p>
        </w:tc>
      </w:tr>
    </w:tbl>
    <w:p/>
    <w:p>
      <w:r>
        <w:rPr>
          <w:b/>
          <w:i w:val="0"/>
          <w:color w:val="1F2D54"/>
          <w:sz w:val="44"/>
        </w:rPr>
        <w:t>Four Work Forms with Conversation Cards</w:t>
      </w:r>
    </w:p>
    <w:p>
      <w:r>
        <w:rPr>
          <w:b w:val="0"/>
          <w:i/>
          <w:color w:val="8B6914"/>
          <w:sz w:val="22"/>
        </w:rPr>
        <w:t>Conversation cards  ·  Seeing · Feeling · Weighing · Acting  ·  Moral craftsmanship in practice</w:t>
      </w:r>
    </w:p>
    <w:p/>
    <w:p>
      <w:r>
        <w:rPr>
          <w:b/>
          <w:i w:val="0"/>
          <w:color w:val="1F2D54"/>
          <w:sz w:val="26"/>
        </w:rPr>
        <w:t>Why this structure?</w:t>
      </w:r>
    </w:p>
    <w:p>
      <w:r>
        <w:rPr>
          <w:b w:val="0"/>
          <w:i w:val="0"/>
          <w:color w:val="4A5568"/>
          <w:sz w:val="22"/>
        </w:rPr>
        <w:t>Each phase of moral action calls for a different kind of exercise. Seeing asks for sharper observation before you judge; Feeling asks for a broader emotional repertoire than your own automatic reaction; Weighing asks for carefully comparing different arguments; and Acting asks you to make concrete what you would do or say. The four work forms below each use their own card set, precisely aligned with what that specific phase requires.</w:t>
      </w:r>
    </w:p>
    <w:p>
      <w:r>
        <w:rPr>
          <w:b w:val="0"/>
          <w:i w:val="0"/>
          <w:color w:val="4A5568"/>
          <w:sz w:val="22"/>
        </w:rPr>
        <w:t>These work forms suit groups of roughly 4 to 8 participants and each take 15 to 25 minutes. They can be used separately, or in sequence as a full run through a dilemma — from observation to action. Combine them with conversation cards from the library and, where appropriate, with work forms on Weighing (Moral Deliberation, Good Reasons) and Persisting.</w:t>
      </w:r>
    </w:p>
    <w:p/>
    <w:p>
      <w:r>
        <w:rPr>
          <w:b/>
          <w:i w:val="0"/>
          <w:color w:val="185FA5"/>
          <w:sz w:val="24"/>
        </w:rPr>
        <w:t>PHASE: SEEING</w:t>
      </w:r>
    </w:p>
    <w:p>
      <w:r>
        <w:rPr>
          <w:b/>
          <w:i w:val="0"/>
          <w:color w:val="1F2D54"/>
          <w:sz w:val="28"/>
        </w:rPr>
        <w:t>The Card Fan</w:t>
      </w:r>
    </w:p>
    <w:p/>
    <w:p>
      <w:r>
        <w:rPr>
          <w:b w:val="0"/>
          <w:i w:val="0"/>
          <w:color w:val="4A5568"/>
          <w:sz w:val="22"/>
        </w:rPr>
        <w:t>Aim: Sharpens moral observation — what do you actually notice before you judge, and what do you usually miss?</w:t>
      </w:r>
    </w:p>
    <w:p/>
    <w:p>
      <w:r>
        <w:rPr>
          <w:b w:val="0"/>
          <w:i w:val="0"/>
          <w:color w:val="4A5568"/>
          <w:sz w:val="22"/>
        </w:rPr>
        <w:t>Cards needed: a set of signal cards with short observation prompts, for example: 'Who has remained silent here?', 'Which detail would you normally ignore?', 'What would an outsider immediately notice that you overlook?', 'What assumption are you making here without noticing?'</w:t>
      </w:r>
    </w:p>
    <w:p/>
    <w:p>
      <w:r>
        <w:rPr>
          <w:b/>
          <w:i w:val="0"/>
          <w:color w:val="1F2D54"/>
          <w:sz w:val="22"/>
        </w:rPr>
        <w:t>How it works</w:t>
      </w:r>
    </w:p>
    <w:p>
      <w:r>
        <w:rPr>
          <w:b w:val="0"/>
          <w:i w:val="0"/>
          <w:color w:val="4A5568"/>
          <w:sz w:val="22"/>
        </w:rPr>
        <w:t>1. The facilitator reads an deliberately incomplete or ambiguous case description — intentionally without a clear 'main character' or moral.</w:t>
      </w:r>
    </w:p>
    <w:p>
      <w:r>
        <w:rPr>
          <w:b w:val="0"/>
          <w:i w:val="0"/>
          <w:color w:val="4A5568"/>
          <w:sz w:val="22"/>
        </w:rPr>
        <w:t>2. In turn, a participant draws a signal card blindly from the fan and names, based solely on what is literally in the case, an observation not yet mentioned by anyone else.</w:t>
      </w:r>
    </w:p>
    <w:p>
      <w:r>
        <w:rPr>
          <w:b w:val="0"/>
          <w:i w:val="0"/>
          <w:color w:val="4A5568"/>
          <w:sz w:val="22"/>
        </w:rPr>
        <w:t>3. Repeat until the fan is empty or no new observations emerge.</w:t>
      </w:r>
    </w:p>
    <w:p>
      <w:r>
        <w:rPr>
          <w:b w:val="0"/>
          <w:i w:val="0"/>
          <w:color w:val="4A5568"/>
          <w:sz w:val="22"/>
        </w:rPr>
        <w:t>4. Discuss afterwards: which observation came last, and why did it take so long before someone mentioned it?</w:t>
      </w:r>
    </w:p>
    <w:p/>
    <w:p>
      <w:r>
        <w:rPr>
          <w:b w:val="0"/>
          <w:i/>
          <w:color w:val="185FA5"/>
          <w:sz w:val="20"/>
        </w:rPr>
        <w:t>Practical tip — Do not allow participants to attach a judgement or solution to their observation. In this work form, only what you see may be named — not yet what you think of it.</w:t>
      </w:r>
    </w:p>
    <w:p/>
    <w:p>
      <w:r>
        <w:rPr>
          <w:b/>
          <w:i w:val="0"/>
          <w:color w:val="854F0B"/>
          <w:sz w:val="24"/>
        </w:rPr>
        <w:t>PHASE: FEELING</w:t>
      </w:r>
    </w:p>
    <w:p>
      <w:r>
        <w:rPr>
          <w:b/>
          <w:i w:val="0"/>
          <w:color w:val="1F2D54"/>
          <w:sz w:val="28"/>
        </w:rPr>
        <w:t>The Empathy Cards</w:t>
      </w:r>
    </w:p>
    <w:p/>
    <w:p>
      <w:r>
        <w:rPr>
          <w:b w:val="0"/>
          <w:i w:val="0"/>
          <w:color w:val="4A5568"/>
          <w:sz w:val="22"/>
        </w:rPr>
        <w:t>Aim: Broadens the emotional repertoire — which emotions might this situation evoke, even if it is not your own first reaction?</w:t>
      </w:r>
    </w:p>
    <w:p/>
    <w:p>
      <w:r>
        <w:rPr>
          <w:b w:val="0"/>
          <w:i w:val="0"/>
          <w:color w:val="4A5568"/>
          <w:sz w:val="22"/>
        </w:rPr>
        <w:t>Cards needed: a set of emotion cards with a single feeling each — no explanation — such as: powerlessness, relief, shame, irritation, doubt, pride, fear, grief.</w:t>
      </w:r>
    </w:p>
    <w:p/>
    <w:p>
      <w:r>
        <w:rPr>
          <w:b/>
          <w:i w:val="0"/>
          <w:color w:val="1F2D54"/>
          <w:sz w:val="22"/>
        </w:rPr>
        <w:t>How it works</w:t>
      </w:r>
    </w:p>
    <w:p>
      <w:r>
        <w:rPr>
          <w:b w:val="0"/>
          <w:i w:val="0"/>
          <w:color w:val="4A5568"/>
          <w:sz w:val="22"/>
        </w:rPr>
        <w:t>1. After hearing the case, each participant draws one emotion card blindly.</w:t>
      </w:r>
    </w:p>
    <w:p>
      <w:r>
        <w:rPr>
          <w:b w:val="0"/>
          <w:i w:val="0"/>
          <w:color w:val="4A5568"/>
          <w:sz w:val="22"/>
        </w:rPr>
        <w:t>2. Each participant explains where or for whom in the case that specific emotion might arise — even if it is not the emotion they felt first themselves.</w:t>
      </w:r>
    </w:p>
    <w:p>
      <w:r>
        <w:rPr>
          <w:b w:val="0"/>
          <w:i w:val="0"/>
          <w:color w:val="4A5568"/>
          <w:sz w:val="22"/>
        </w:rPr>
        <w:t>3. The group may add: for whom in the case might this feeling be even stronger?</w:t>
      </w:r>
    </w:p>
    <w:p>
      <w:r>
        <w:rPr>
          <w:b w:val="0"/>
          <w:i w:val="0"/>
          <w:color w:val="4A5568"/>
          <w:sz w:val="22"/>
        </w:rPr>
        <w:t>4. Close with a short round: which emotion on the table had you not named yourself, but do you now recognise?</w:t>
      </w:r>
    </w:p>
    <w:p/>
    <w:p>
      <w:r>
        <w:rPr>
          <w:b w:val="0"/>
          <w:i/>
          <w:color w:val="854F0B"/>
          <w:sz w:val="20"/>
        </w:rPr>
        <w:t>Practical tip — Explicitly allow 'unpleasant' or socially inappropriate-sounding emotions (relief that it happened to someone else, for example). The aim is honest recognition, not a socially desirable feeling.</w:t>
      </w:r>
    </w:p>
    <w:p/>
    <w:p>
      <w:r>
        <w:rPr>
          <w:b/>
          <w:i w:val="0"/>
          <w:color w:val="993556"/>
          <w:sz w:val="24"/>
        </w:rPr>
        <w:t>PHASE: WEIGHING</w:t>
      </w:r>
    </w:p>
    <w:p>
      <w:r>
        <w:rPr>
          <w:b/>
          <w:i w:val="0"/>
          <w:color w:val="1F2D54"/>
          <w:sz w:val="28"/>
        </w:rPr>
        <w:t>The Scale on the Floor</w:t>
      </w:r>
    </w:p>
    <w:p/>
    <w:p>
      <w:r>
        <w:rPr>
          <w:b w:val="0"/>
          <w:i w:val="0"/>
          <w:color w:val="4A5568"/>
          <w:sz w:val="22"/>
        </w:rPr>
        <w:t>Aim: Makes weighing arguments physical and visible, instead of remaining abstract in someone's head.</w:t>
      </w:r>
    </w:p>
    <w:p/>
    <w:p>
      <w:r>
        <w:rPr>
          <w:b w:val="0"/>
          <w:i w:val="0"/>
          <w:color w:val="4A5568"/>
          <w:sz w:val="22"/>
        </w:rPr>
        <w:t>Cards needed: separate argument cards (pre-printed or filled in on the spot) with short arguments for and against a possible choice in the case.</w:t>
      </w:r>
    </w:p>
    <w:p/>
    <w:p>
      <w:r>
        <w:rPr>
          <w:b/>
          <w:i w:val="0"/>
          <w:color w:val="1F2D54"/>
          <w:sz w:val="22"/>
        </w:rPr>
        <w:t>How it works</w:t>
      </w:r>
    </w:p>
    <w:p>
      <w:r>
        <w:rPr>
          <w:b w:val="0"/>
          <w:i w:val="0"/>
          <w:color w:val="4A5568"/>
          <w:sz w:val="22"/>
        </w:rPr>
        <w:t>1. Mark an imaginary line on the floor or a long table, from 'fully agree' at one end to 'fully disagree' at the other.</w:t>
      </w:r>
    </w:p>
    <w:p>
      <w:r>
        <w:rPr>
          <w:b w:val="0"/>
          <w:i w:val="0"/>
          <w:color w:val="4A5568"/>
          <w:sz w:val="22"/>
        </w:rPr>
        <w:t>2. Each participant receives one or more argument cards and places them physically on the line, based on how heavily that argument weighs for them.</w:t>
      </w:r>
    </w:p>
    <w:p>
      <w:r>
        <w:rPr>
          <w:b w:val="0"/>
          <w:i w:val="0"/>
          <w:color w:val="4A5568"/>
          <w:sz w:val="22"/>
        </w:rPr>
        <w:t>3. Once all cards are placed, participants may question each other's placement: 'Why is your card closer to the middle than mine?'</w:t>
      </w:r>
    </w:p>
    <w:p>
      <w:r>
        <w:rPr>
          <w:b w:val="0"/>
          <w:i w:val="0"/>
          <w:color w:val="4A5568"/>
          <w:sz w:val="22"/>
        </w:rPr>
        <w:t>4. Close with the question: if you had to merge the cards into one shared judgement now, where would the whole roughly lie?</w:t>
      </w:r>
    </w:p>
    <w:p/>
    <w:p>
      <w:r>
        <w:rPr>
          <w:b w:val="0"/>
          <w:i/>
          <w:color w:val="993556"/>
          <w:sz w:val="20"/>
        </w:rPr>
        <w:t>Practical tip — Deliberately allow cards to lie close to the middle. A dilemma that easily resolves to one side of the line is usually not a good dilemma.</w:t>
      </w:r>
    </w:p>
    <w:p/>
    <w:p>
      <w:r>
        <w:rPr>
          <w:b/>
          <w:i w:val="0"/>
          <w:color w:val="0F6E56"/>
          <w:sz w:val="24"/>
        </w:rPr>
        <w:t>PHASE: ACTING</w:t>
      </w:r>
    </w:p>
    <w:p>
      <w:r>
        <w:rPr>
          <w:b/>
          <w:i w:val="0"/>
          <w:color w:val="1F2D54"/>
          <w:sz w:val="28"/>
        </w:rPr>
        <w:t>The Action Sentence Set</w:t>
      </w:r>
    </w:p>
    <w:p/>
    <w:p>
      <w:r>
        <w:rPr>
          <w:b w:val="0"/>
          <w:i w:val="0"/>
          <w:color w:val="4A5568"/>
          <w:sz w:val="22"/>
        </w:rPr>
        <w:t>Aim: Bridges the gap between knowing what would be good and actually saying or doing it concretely — often the weakest link in moral behaviour.</w:t>
      </w:r>
    </w:p>
    <w:p/>
    <w:p>
      <w:r>
        <w:rPr>
          <w:b w:val="0"/>
          <w:i w:val="0"/>
          <w:color w:val="4A5568"/>
          <w:sz w:val="22"/>
        </w:rPr>
        <w:t>Cards needed: cards with the start of an action sentence, for example: 'The first thing I would do now is…', 'What I would say aloud to [name] is…', 'The first phone call I would make is to…', 'If I were standing here now, I would literally say…'</w:t>
      </w:r>
    </w:p>
    <w:p/>
    <w:p>
      <w:r>
        <w:rPr>
          <w:b/>
          <w:i w:val="0"/>
          <w:color w:val="1F2D54"/>
          <w:sz w:val="22"/>
        </w:rPr>
        <w:t>How it works</w:t>
      </w:r>
    </w:p>
    <w:p>
      <w:r>
        <w:rPr>
          <w:b w:val="0"/>
          <w:i w:val="0"/>
          <w:color w:val="4A5568"/>
          <w:sz w:val="22"/>
        </w:rPr>
        <w:t>1. After discussing the dilemma, each participant draws an action-sentence card blindly.</w:t>
      </w:r>
    </w:p>
    <w:p>
      <w:r>
        <w:rPr>
          <w:b w:val="0"/>
          <w:i w:val="0"/>
          <w:color w:val="4A5568"/>
          <w:sz w:val="22"/>
        </w:rPr>
        <w:t>2. The participant must complete the sentence aloud — concretely and specifically (a name, a moment, a literal formulation), not in generalities such as 'I would bring it up'.</w:t>
      </w:r>
    </w:p>
    <w:p>
      <w:r>
        <w:rPr>
          <w:b w:val="0"/>
          <w:i w:val="0"/>
          <w:color w:val="4A5568"/>
          <w:sz w:val="22"/>
        </w:rPr>
        <w:t>3. The group may probe when the answer stays too vague: 'What exactly do you say, and to whom?'</w:t>
      </w:r>
    </w:p>
    <w:p>
      <w:r>
        <w:rPr>
          <w:b w:val="0"/>
          <w:i w:val="0"/>
          <w:color w:val="4A5568"/>
          <w:sz w:val="22"/>
        </w:rPr>
        <w:t>4. Discuss finally: which action sentence was easiest to think of, and which was hardest to actually say aloud?</w:t>
      </w:r>
    </w:p>
    <w:p/>
    <w:p>
      <w:r>
        <w:rPr>
          <w:b w:val="0"/>
          <w:i/>
          <w:color w:val="0F6E56"/>
          <w:sz w:val="20"/>
        </w:rPr>
        <w:t>Practical tip — Be strict on concreteness: 'I would say something about it' is not a valid answer. Keep probing until the participant speaks a sentence they could literally use tomorrow.</w:t>
      </w:r>
    </w:p>
    <w:p/>
    <w:p>
      <w:r>
        <w:rPr>
          <w:b/>
          <w:i w:val="0"/>
          <w:color w:val="1F2D54"/>
          <w:sz w:val="26"/>
        </w:rPr>
        <w:t>Overview at a glance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color w:val="1F2D54"/>
                <w:sz w:val="20"/>
              </w:rPr>
              <w:t>Phase</w:t>
            </w:r>
          </w:p>
        </w:tc>
        <w:tc>
          <w:tcPr>
            <w:tcW w:type="dxa" w:w="2880"/>
          </w:tcPr>
          <w:p>
            <w:r>
              <w:rPr>
                <w:b/>
                <w:i w:val="0"/>
                <w:color w:val="1F2D54"/>
                <w:sz w:val="20"/>
              </w:rPr>
              <w:t>Work form</w:t>
            </w:r>
          </w:p>
        </w:tc>
        <w:tc>
          <w:tcPr>
            <w:tcW w:type="dxa" w:w="2880"/>
          </w:tcPr>
          <w:p>
            <w:r>
              <w:rPr>
                <w:b/>
                <w:i w:val="0"/>
                <w:color w:val="1F2D54"/>
                <w:sz w:val="20"/>
              </w:rPr>
              <w:t>Cards needed</w:t>
            </w:r>
          </w:p>
        </w:tc>
      </w:tr>
      <w:tr>
        <w:tc>
          <w:tcPr>
            <w:tcW w:type="dxa" w:w="2880"/>
          </w:tcPr>
          <w:p>
            <w:r>
              <w:rPr>
                <w:b w:val="0"/>
                <w:i w:val="0"/>
                <w:color w:val="4A5568"/>
                <w:sz w:val="20"/>
              </w:rPr>
              <w:t>SEEING</w:t>
            </w:r>
          </w:p>
        </w:tc>
        <w:tc>
          <w:tcPr>
            <w:tcW w:type="dxa" w:w="2880"/>
          </w:tcPr>
          <w:p>
            <w:r>
              <w:rPr>
                <w:b w:val="0"/>
                <w:i w:val="0"/>
                <w:color w:val="4A5568"/>
                <w:sz w:val="20"/>
              </w:rPr>
              <w:t>The Card Fan</w:t>
            </w:r>
          </w:p>
        </w:tc>
        <w:tc>
          <w:tcPr>
            <w:tcW w:type="dxa" w:w="2880"/>
          </w:tcPr>
          <w:p>
            <w:r>
              <w:rPr>
                <w:b w:val="0"/>
                <w:i w:val="0"/>
                <w:color w:val="4A5568"/>
                <w:sz w:val="20"/>
              </w:rPr>
              <w:t>Signal cards with short observation prompts</w:t>
            </w:r>
          </w:p>
        </w:tc>
      </w:tr>
      <w:tr>
        <w:tc>
          <w:tcPr>
            <w:tcW w:type="dxa" w:w="2880"/>
          </w:tcPr>
          <w:p>
            <w:r>
              <w:rPr>
                <w:b w:val="0"/>
                <w:i w:val="0"/>
                <w:color w:val="4A5568"/>
                <w:sz w:val="20"/>
              </w:rPr>
              <w:t>FEELING</w:t>
            </w:r>
          </w:p>
        </w:tc>
        <w:tc>
          <w:tcPr>
            <w:tcW w:type="dxa" w:w="2880"/>
          </w:tcPr>
          <w:p>
            <w:r>
              <w:rPr>
                <w:b w:val="0"/>
                <w:i w:val="0"/>
                <w:color w:val="4A5568"/>
                <w:sz w:val="20"/>
              </w:rPr>
              <w:t>The Empathy Cards</w:t>
            </w:r>
          </w:p>
        </w:tc>
        <w:tc>
          <w:tcPr>
            <w:tcW w:type="dxa" w:w="2880"/>
          </w:tcPr>
          <w:p>
            <w:r>
              <w:rPr>
                <w:b w:val="0"/>
                <w:i w:val="0"/>
                <w:color w:val="4A5568"/>
                <w:sz w:val="20"/>
              </w:rPr>
              <w:t>Emotion cards — one feeling per card, no explanation</w:t>
            </w:r>
          </w:p>
        </w:tc>
      </w:tr>
      <w:tr>
        <w:tc>
          <w:tcPr>
            <w:tcW w:type="dxa" w:w="2880"/>
          </w:tcPr>
          <w:p>
            <w:r>
              <w:rPr>
                <w:b w:val="0"/>
                <w:i w:val="0"/>
                <w:color w:val="4A5568"/>
                <w:sz w:val="20"/>
              </w:rPr>
              <w:t>WEIGHING</w:t>
            </w:r>
          </w:p>
        </w:tc>
        <w:tc>
          <w:tcPr>
            <w:tcW w:type="dxa" w:w="2880"/>
          </w:tcPr>
          <w:p>
            <w:r>
              <w:rPr>
                <w:b w:val="0"/>
                <w:i w:val="0"/>
                <w:color w:val="4A5568"/>
                <w:sz w:val="20"/>
              </w:rPr>
              <w:t>The Scale on the Floor</w:t>
            </w:r>
          </w:p>
        </w:tc>
        <w:tc>
          <w:tcPr>
            <w:tcW w:type="dxa" w:w="2880"/>
          </w:tcPr>
          <w:p>
            <w:r>
              <w:rPr>
                <w:b w:val="0"/>
                <w:i w:val="0"/>
                <w:color w:val="4A5568"/>
                <w:sz w:val="20"/>
              </w:rPr>
              <w:t>Argument cards for and against a possible choice</w:t>
            </w:r>
          </w:p>
        </w:tc>
      </w:tr>
      <w:tr>
        <w:tc>
          <w:tcPr>
            <w:tcW w:type="dxa" w:w="2880"/>
          </w:tcPr>
          <w:p>
            <w:r>
              <w:rPr>
                <w:b w:val="0"/>
                <w:i w:val="0"/>
                <w:color w:val="4A5568"/>
                <w:sz w:val="20"/>
              </w:rPr>
              <w:t>ACTING</w:t>
            </w:r>
          </w:p>
        </w:tc>
        <w:tc>
          <w:tcPr>
            <w:tcW w:type="dxa" w:w="2880"/>
          </w:tcPr>
          <w:p>
            <w:r>
              <w:rPr>
                <w:b w:val="0"/>
                <w:i w:val="0"/>
                <w:color w:val="4A5568"/>
                <w:sz w:val="20"/>
              </w:rPr>
              <w:t>The Action Sentence Set</w:t>
            </w:r>
          </w:p>
        </w:tc>
        <w:tc>
          <w:tcPr>
            <w:tcW w:type="dxa" w:w="2880"/>
          </w:tcPr>
          <w:p>
            <w:r>
              <w:rPr>
                <w:b w:val="0"/>
                <w:i w:val="0"/>
                <w:color w:val="4A5568"/>
                <w:sz w:val="20"/>
              </w:rPr>
              <w:t>Cards with the start of an action sentence</w:t>
            </w:r>
          </w:p>
        </w:tc>
      </w:tr>
    </w:tbl>
    <w:p/>
    <w:p>
      <w:r>
        <w:rPr>
          <w:b/>
          <w:i w:val="0"/>
          <w:color w:val="1F2D54"/>
          <w:sz w:val="24"/>
        </w:rPr>
        <w:t>Facilitator note — safe learning environment</w:t>
      </w:r>
    </w:p>
    <w:p>
      <w:r>
        <w:rPr>
          <w:b w:val="0"/>
          <w:i w:val="0"/>
          <w:color w:val="4A5568"/>
          <w:sz w:val="22"/>
        </w:rPr>
        <w:t>Do not let participants formulate a solution or judgement during Seeing and Feeling — that comes only at Weighing and Acting. Mixing the phases is the most common pitfall: a group that jumps too quickly to 'what should we do' often skips observation and feeling, and thereby misses precisely the signals that make the dilemma hardest.</w:t>
      </w:r>
    </w:p>
    <w:p/>
    <w:p>
      <w:r>
        <w:rPr>
          <w:b w:val="0"/>
          <w:i/>
          <w:color w:val="534AB7"/>
          <w:sz w:val="20"/>
        </w:rPr>
        <w:t>Tip: This worksheet works well combined with conversation cards from the library — use one case card as the shared case for all four work forms.</w:t>
      </w:r>
    </w:p>
    <w:p/>
    <w:p>
      <w:r>
        <w:rPr>
          <w:b w:val="0"/>
          <w:i w:val="0"/>
          <w:color w:val="5F5E5A"/>
          <w:sz w:val="18"/>
        </w:rPr>
        <w:t>Sources: Rest, J.R. (1986), Moral Development: Advances in Research and Theory  ·  Kidder, R.M. (2005), How Good People Make Tough Choices  ·  Tjin A Djie &amp; Zwaan (2010), Managing diversity in the workplace</w:t>
      </w:r>
    </w:p>
    <w:p>
      <w:pPr>
        <w:jc w:val="center"/>
      </w:pPr>
      <w:r>
        <w:rPr>
          <w:b w:val="0"/>
          <w:i/>
          <w:color w:val="5F5E5A"/>
          <w:sz w:val="16"/>
        </w:rPr>
        <w:t>Fontys University of Applied Sciences — Research Group Ethical Practice · Community of Moral Craftsmanship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