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2880"/>
        <w:gridCol w:w="2880"/>
        <w:gridCol w:w="2880"/>
      </w:tblGrid>
      <w:tr>
        <w:tc>
          <w:tcPr>
            <w:tcW w:type="dxa" w:w="2880"/>
          </w:tcPr>
          <w:p>
            <w:r>
              <w:rPr>
                <w:b w:val="0"/>
                <w:i w:val="0"/>
                <w:color w:val="5F5E5A"/>
                <w:sz w:val="18"/>
              </w:rPr>
              <w:t>Fontys Lectoraat Ethisch Werken</w:t>
            </w:r>
          </w:p>
        </w:tc>
        <w:tc>
          <w:tcPr>
            <w:tcW w:type="dxa" w:w="2880"/>
          </w:tcPr>
          <w:p>
            <w:r>
              <w:rPr>
                <w:b/>
                <w:i w:val="0"/>
                <w:color w:val="1F2D54"/>
                <w:sz w:val="22"/>
              </w:rPr>
              <w:t>MV_20  —  Vier Werkvormen met Gesprekskaarten</w:t>
            </w:r>
            <w:r>
              <w:br/>
            </w:r>
            <w:r>
              <w:rPr>
                <w:b w:val="0"/>
                <w:i w:val="0"/>
                <w:color w:val="1F2D54"/>
                <w:sz w:val="20"/>
              </w:rPr>
              <w:t>Reeks Moreel Vakmanschap</w:t>
            </w:r>
          </w:p>
        </w:tc>
        <w:tc>
          <w:tcPr>
            <w:tcW w:type="dxa" w:w="2880"/>
          </w:tcPr>
          <w:p>
            <w:r>
              <w:rPr>
                <w:b w:val="0"/>
                <w:i w:val="0"/>
                <w:color w:val="5F5E5A"/>
                <w:sz w:val="18"/>
              </w:rPr>
              <w:t>Zien · Voelen · Wegen · Handelen</w:t>
            </w:r>
          </w:p>
        </w:tc>
      </w:tr>
    </w:tbl>
    <w:p/>
    <w:tbl>
      <w:tblPr>
        <w:tblW w:type="auto" w:w="0"/>
        <w:tblLook w:firstColumn="1" w:firstRow="1" w:lastColumn="0" w:lastRow="0" w:noHBand="0" w:noVBand="1" w:val="04A0"/>
      </w:tblPr>
      <w:tblGrid>
        <w:gridCol w:w="2160"/>
        <w:gridCol w:w="2160"/>
        <w:gridCol w:w="2160"/>
        <w:gridCol w:w="2160"/>
      </w:tblGrid>
      <w:tr>
        <w:tc>
          <w:tcPr>
            <w:tcW w:type="dxa" w:w="2160"/>
          </w:tcPr>
          <w:p>
            <w:r>
              <w:rPr>
                <w:b/>
                <w:i w:val="0"/>
                <w:color w:val="1F2D54"/>
                <w:sz w:val="20"/>
              </w:rPr>
              <w:t>Naam</w:t>
            </w:r>
          </w:p>
        </w:tc>
        <w:tc>
          <w:tcPr>
            <w:tcW w:type="dxa" w:w="2160"/>
          </w:tcPr>
          <w:p>
            <w:r>
              <w:rPr>
                <w:b/>
                <w:i w:val="0"/>
                <w:color w:val="1F2D54"/>
                <w:sz w:val="20"/>
              </w:rPr>
              <w:t>Datum</w:t>
            </w:r>
          </w:p>
        </w:tc>
        <w:tc>
          <w:tcPr>
            <w:tcW w:type="dxa" w:w="2160"/>
          </w:tcPr>
          <w:p>
            <w:r>
              <w:rPr>
                <w:b/>
                <w:i w:val="0"/>
                <w:color w:val="1F2D54"/>
                <w:sz w:val="20"/>
              </w:rPr>
              <w:t>Opleiding</w:t>
            </w:r>
          </w:p>
        </w:tc>
        <w:tc>
          <w:tcPr>
            <w:tcW w:type="dxa" w:w="2160"/>
          </w:tcPr>
          <w:p>
            <w:r>
              <w:rPr>
                <w:b/>
                <w:i w:val="0"/>
                <w:color w:val="1F2D54"/>
                <w:sz w:val="20"/>
              </w:rPr>
              <w:t>Klas / Groep</w:t>
            </w:r>
          </w:p>
        </w:tc>
      </w:tr>
    </w:tbl>
    <w:p/>
    <w:p>
      <w:r>
        <w:rPr>
          <w:b/>
          <w:i w:val="0"/>
          <w:color w:val="1F2D54"/>
          <w:sz w:val="44"/>
        </w:rPr>
        <w:t>Vier Werkvormen met Gesprekskaarten</w:t>
      </w:r>
    </w:p>
    <w:p>
      <w:r>
        <w:rPr>
          <w:b w:val="0"/>
          <w:i/>
          <w:color w:val="8B6914"/>
          <w:sz w:val="22"/>
        </w:rPr>
        <w:t>Gesprekskaarten  ·  Zien · Voelen · Wegen · Handelen  ·  Moreel vakmanschap in de praktijk</w:t>
      </w:r>
    </w:p>
    <w:p/>
    <w:p>
      <w:r>
        <w:rPr>
          <w:b/>
          <w:i w:val="0"/>
          <w:color w:val="1F2D54"/>
          <w:sz w:val="26"/>
        </w:rPr>
        <w:t>Waarom deze indeling?</w:t>
      </w:r>
    </w:p>
    <w:p>
      <w:r>
        <w:rPr>
          <w:b w:val="0"/>
          <w:i w:val="0"/>
          <w:color w:val="4A5568"/>
          <w:sz w:val="22"/>
        </w:rPr>
        <w:t>Elke fase van moreel handelen vraagt om een ander soort oefening. Zien vraagt om scherper waarnemen vóórdat je oordeelt; Voelen vraagt om een breder gevoelsrepertoire dan je eigen automatische reactie; Wegen vraagt om zorgvuldig verschillende argumenten tegen elkaar afzetten; en Handelen vraagt om het concreet maken van wat je zou doen of zeggen. Onderstaande vier werkvormen gebruiken elk hun eigen kaartenset, precies afgestemd op wat die specifieke fase vraagt.</w:t>
      </w:r>
    </w:p>
    <w:p>
      <w:r>
        <w:rPr>
          <w:b w:val="0"/>
          <w:i w:val="0"/>
          <w:color w:val="4A5568"/>
          <w:sz w:val="22"/>
        </w:rPr>
        <w:t>Deze werkvormen zijn geschikt voor groepen van circa 4 tot 8 deelnemers en duren elk 15 tot 25 minuten. Ze kunnen los worden ingezet, of achter elkaar als een volledige doorloop van een dilemma — van waarneming tot actie. Combineer ze met gesprekskaarten uit de bibliotheek en, waar passend, met werkvormen over Wegen (Moreel Beraad, Goede redenen) en Volhouden.</w:t>
      </w:r>
    </w:p>
    <w:p/>
    <w:p>
      <w:r>
        <w:rPr>
          <w:b/>
          <w:i w:val="0"/>
          <w:color w:val="185FA5"/>
          <w:sz w:val="24"/>
        </w:rPr>
        <w:t>FASE: ZIEN</w:t>
      </w:r>
    </w:p>
    <w:p>
      <w:r>
        <w:rPr>
          <w:b/>
          <w:i w:val="0"/>
          <w:color w:val="1F2D54"/>
          <w:sz w:val="28"/>
        </w:rPr>
        <w:t>De Kaartenwaaier</w:t>
      </w:r>
    </w:p>
    <w:p/>
    <w:p>
      <w:r>
        <w:rPr>
          <w:b w:val="0"/>
          <w:i w:val="0"/>
          <w:color w:val="4A5568"/>
          <w:sz w:val="22"/>
        </w:rPr>
        <w:t>Doel: Scherpt de morele waarneming — wat merk je eigenlijk op vóórdat je gaat oordelen, en wat mis je meestal?</w:t>
      </w:r>
    </w:p>
    <w:p/>
    <w:p>
      <w:r>
        <w:rPr>
          <w:b w:val="0"/>
          <w:i w:val="0"/>
          <w:color w:val="4A5568"/>
          <w:sz w:val="22"/>
        </w:rPr>
        <w:t>Benodigde kaarten: een set signaalkaarten met korte waarnemingsvragen, bijvoorbeeld: 'Wie is hier stil gebleven?', 'Welk detail zou je normaal gesproken negeren?', 'Wat zou een buitenstaander direct opvallen dat jij over het hoofd ziet?', 'Welke aanname doe je hier zonder het te merken?'</w:t>
      </w:r>
    </w:p>
    <w:p/>
    <w:p>
      <w:r>
        <w:rPr>
          <w:b/>
          <w:i w:val="0"/>
          <w:color w:val="1F2D54"/>
          <w:sz w:val="22"/>
        </w:rPr>
        <w:t>Hoe het werkt</w:t>
      </w:r>
    </w:p>
    <w:p>
      <w:r>
        <w:rPr>
          <w:b w:val="0"/>
          <w:i w:val="0"/>
          <w:color w:val="4A5568"/>
          <w:sz w:val="22"/>
        </w:rPr>
        <w:t>1. De begeleider leest een bewust onvolledige of ambigue casusbeschrijving voor — met opzet zonder duidelijke 'hoofdpersoon' of moraal.</w:t>
      </w:r>
    </w:p>
    <w:p>
      <w:r>
        <w:rPr>
          <w:b w:val="0"/>
          <w:i w:val="0"/>
          <w:color w:val="4A5568"/>
          <w:sz w:val="22"/>
        </w:rPr>
        <w:t>2. Om de beurt trekt een deelnemer blind een signaalkaart uit de waaier en benoemt, uitsluitend gebaseerd op wat er letterlijk in de casus staat, een waarneming die nog niet door iemand anders is genoemd.</w:t>
      </w:r>
    </w:p>
    <w:p>
      <w:r>
        <w:rPr>
          <w:b w:val="0"/>
          <w:i w:val="0"/>
          <w:color w:val="4A5568"/>
          <w:sz w:val="22"/>
        </w:rPr>
        <w:t>3. Herhaal tot de waaier op is of tot er geen nieuwe waarnemingen meer opduiken.</w:t>
      </w:r>
    </w:p>
    <w:p>
      <w:r>
        <w:rPr>
          <w:b w:val="0"/>
          <w:i w:val="0"/>
          <w:color w:val="4A5568"/>
          <w:sz w:val="22"/>
        </w:rPr>
        <w:t>4. Bespreek na afloop: welke waarneming kwam het laatst, en waarom duurde het zo lang voordat iemand die opmerkte?</w:t>
      </w:r>
    </w:p>
    <w:p/>
    <w:p>
      <w:r>
        <w:rPr>
          <w:b w:val="0"/>
          <w:i/>
          <w:color w:val="185FA5"/>
          <w:sz w:val="20"/>
        </w:rPr>
        <w:t>Praktijktip — Sta niet toe dat deelnemers meteen een oordeel of oplossing koppelen aan hun waarneming. Bij deze werkvorm mag er alleen worden benoemd wat je ziet, nog niet wat je ervan vindt.</w:t>
      </w:r>
    </w:p>
    <w:p/>
    <w:p>
      <w:r>
        <w:rPr>
          <w:b/>
          <w:i w:val="0"/>
          <w:color w:val="854F0B"/>
          <w:sz w:val="24"/>
        </w:rPr>
        <w:t>FASE: VOELEN</w:t>
      </w:r>
    </w:p>
    <w:p>
      <w:r>
        <w:rPr>
          <w:b/>
          <w:i w:val="0"/>
          <w:color w:val="1F2D54"/>
          <w:sz w:val="28"/>
        </w:rPr>
        <w:t>De Empathiekaarten</w:t>
      </w:r>
    </w:p>
    <w:p/>
    <w:p>
      <w:r>
        <w:rPr>
          <w:b w:val="0"/>
          <w:i w:val="0"/>
          <w:color w:val="4A5568"/>
          <w:sz w:val="22"/>
        </w:rPr>
        <w:t>Doel: Verbreedt het gevoelsrepertoire — welke emoties zou déze situatie kunnen oproepen, ook als het niet je eigen eerste reactie is?</w:t>
      </w:r>
    </w:p>
    <w:p/>
    <w:p>
      <w:r>
        <w:rPr>
          <w:b w:val="0"/>
          <w:i w:val="0"/>
          <w:color w:val="4A5568"/>
          <w:sz w:val="22"/>
        </w:rPr>
        <w:t>Benodigde kaarten: een set emotiekaarten met telkens één enkel gevoel — zonder uitleg — zoals: onmacht, opluchting, schaamte, irritatie, twijfel, trots, angst, verdriet.</w:t>
      </w:r>
    </w:p>
    <w:p/>
    <w:p>
      <w:r>
        <w:rPr>
          <w:b/>
          <w:i w:val="0"/>
          <w:color w:val="1F2D54"/>
          <w:sz w:val="22"/>
        </w:rPr>
        <w:t>Hoe het werkt</w:t>
      </w:r>
    </w:p>
    <w:p>
      <w:r>
        <w:rPr>
          <w:b w:val="0"/>
          <w:i w:val="0"/>
          <w:color w:val="4A5568"/>
          <w:sz w:val="22"/>
        </w:rPr>
        <w:t>1. Na het horen van de casus trekt iedere deelnemer blind één emotiekaart.</w:t>
      </w:r>
    </w:p>
    <w:p>
      <w:r>
        <w:rPr>
          <w:b w:val="0"/>
          <w:i w:val="0"/>
          <w:color w:val="4A5568"/>
          <w:sz w:val="22"/>
        </w:rPr>
        <w:t>2. Elke deelnemer legt uit waar of bij wie in de casus die specifieke emotie zou kunnen opduiken — ook als het niet de emotie is die zij zelf als eerste voelden.</w:t>
      </w:r>
    </w:p>
    <w:p>
      <w:r>
        <w:rPr>
          <w:b w:val="0"/>
          <w:i w:val="0"/>
          <w:color w:val="4A5568"/>
          <w:sz w:val="22"/>
        </w:rPr>
        <w:t>3. De groep mag aanvullen: bij wie in de casus zou dit gevoel nóg sterker kunnen spelen?</w:t>
      </w:r>
    </w:p>
    <w:p>
      <w:r>
        <w:rPr>
          <w:b w:val="0"/>
          <w:i w:val="0"/>
          <w:color w:val="4A5568"/>
          <w:sz w:val="22"/>
        </w:rPr>
        <w:t>4. Sluit af met een korte ronde: welke emotie op tafel had jij zelf nog niet genoemd, maar herken je nu wel?</w:t>
      </w:r>
    </w:p>
    <w:p/>
    <w:p>
      <w:r>
        <w:rPr>
          <w:b w:val="0"/>
          <w:i/>
          <w:color w:val="854F0B"/>
          <w:sz w:val="20"/>
        </w:rPr>
        <w:t>Praktijktip — Laat nadrukkelijk ook 'onprettige' of ongepast klinkende emoties toe (opluchting dat het een ander overkwam, bijvoorbeeld). Het doel is eerlijke herkenning, niet een sociaal wenselijk gevoel.</w:t>
      </w:r>
    </w:p>
    <w:p/>
    <w:p>
      <w:r>
        <w:rPr>
          <w:b/>
          <w:i w:val="0"/>
          <w:color w:val="993556"/>
          <w:sz w:val="24"/>
        </w:rPr>
        <w:t>FASE: WEGEN</w:t>
      </w:r>
    </w:p>
    <w:p>
      <w:r>
        <w:rPr>
          <w:b/>
          <w:i w:val="0"/>
          <w:color w:val="1F2D54"/>
          <w:sz w:val="28"/>
        </w:rPr>
        <w:t>De Weegschaal-vloer</w:t>
      </w:r>
    </w:p>
    <w:p/>
    <w:p>
      <w:r>
        <w:rPr>
          <w:b w:val="0"/>
          <w:i w:val="0"/>
          <w:color w:val="4A5568"/>
          <w:sz w:val="22"/>
        </w:rPr>
        <w:t>Doel: Maakt het afwegen van argumenten fysiek en zichtbaar, in plaats van dat het alleen abstract in iemands hoofd blijft.</w:t>
      </w:r>
    </w:p>
    <w:p/>
    <w:p>
      <w:r>
        <w:rPr>
          <w:b w:val="0"/>
          <w:i w:val="0"/>
          <w:color w:val="4A5568"/>
          <w:sz w:val="22"/>
        </w:rPr>
        <w:t>Benodigde kaarten: losse argumentkaarten (voorbedrukt of ter plekke ingevuld) met korte argumenten vóór en tegen een mogelijke keuze in de casus.</w:t>
      </w:r>
    </w:p>
    <w:p/>
    <w:p>
      <w:r>
        <w:rPr>
          <w:b/>
          <w:i w:val="0"/>
          <w:color w:val="1F2D54"/>
          <w:sz w:val="22"/>
        </w:rPr>
        <w:t>Hoe het werkt</w:t>
      </w:r>
    </w:p>
    <w:p>
      <w:r>
        <w:rPr>
          <w:b w:val="0"/>
          <w:i w:val="0"/>
          <w:color w:val="4A5568"/>
          <w:sz w:val="22"/>
        </w:rPr>
        <w:t>1. Markeer een denkbeeldige lijn op de vloer of een lange tafel, van 'volledig mee eens' aan het ene uiterste tot 'volledig mee oneens' aan het andere.</w:t>
      </w:r>
    </w:p>
    <w:p>
      <w:r>
        <w:rPr>
          <w:b w:val="0"/>
          <w:i w:val="0"/>
          <w:color w:val="4A5568"/>
          <w:sz w:val="22"/>
        </w:rPr>
        <w:t>2. Elke deelnemer krijgt één of meerdere argumentkaarten en plaatst deze fysiek op de lijn, op basis van hoe zwaar dat argument voor hen weegt.</w:t>
      </w:r>
    </w:p>
    <w:p>
      <w:r>
        <w:rPr>
          <w:b w:val="0"/>
          <w:i w:val="0"/>
          <w:color w:val="4A5568"/>
          <w:sz w:val="22"/>
        </w:rPr>
        <w:t>3. Zodra alle kaarten liggen, mogen deelnemers elkaars plaatsing bevragen: 'Waarom ligt jouw kaart dichter naar het midden dan die van mij?'</w:t>
      </w:r>
    </w:p>
    <w:p>
      <w:r>
        <w:rPr>
          <w:b w:val="0"/>
          <w:i w:val="0"/>
          <w:color w:val="4A5568"/>
          <w:sz w:val="22"/>
        </w:rPr>
        <w:t>4. Sluit af met de vraag: als je de kaarten nu moest samenvoegen tot één gezamenlijk oordeel, waar zou het geheel dan ongeveer liggen?</w:t>
      </w:r>
    </w:p>
    <w:p/>
    <w:p>
      <w:r>
        <w:rPr>
          <w:b w:val="0"/>
          <w:i/>
          <w:color w:val="993556"/>
          <w:sz w:val="20"/>
        </w:rPr>
        <w:t>Praktijktip — Sta bewust toe dat kaarten dicht bij het midden komen te liggen. Een dilemma dat zich makkelijk aan één kant van de lijn laat oplossen, is meestal geen goed dilemma.</w:t>
      </w:r>
    </w:p>
    <w:p/>
    <w:p>
      <w:r>
        <w:rPr>
          <w:b/>
          <w:i w:val="0"/>
          <w:color w:val="0F6E56"/>
          <w:sz w:val="24"/>
        </w:rPr>
        <w:t>FASE: HANDELEN</w:t>
      </w:r>
    </w:p>
    <w:p>
      <w:r>
        <w:rPr>
          <w:b/>
          <w:i w:val="0"/>
          <w:color w:val="1F2D54"/>
          <w:sz w:val="28"/>
        </w:rPr>
        <w:t>De Actiezinnenset</w:t>
      </w:r>
    </w:p>
    <w:p/>
    <w:p>
      <w:r>
        <w:rPr>
          <w:b w:val="0"/>
          <w:i w:val="0"/>
          <w:color w:val="4A5568"/>
          <w:sz w:val="22"/>
        </w:rPr>
        <w:t>Doel: Overbrugt de kloof tussen weten wat goed zou zijn en het daadwerkelijk concreet zeggen of doen — vaak de zwakste schakel in moreel gedrag.</w:t>
      </w:r>
    </w:p>
    <w:p/>
    <w:p>
      <w:r>
        <w:rPr>
          <w:b w:val="0"/>
          <w:i w:val="0"/>
          <w:color w:val="4A5568"/>
          <w:sz w:val="22"/>
        </w:rPr>
        <w:t>Benodigde kaarten: kaarten met de aanzet van een actiezin, bijvoorbeeld: 'Het eerste wat ik nu zou doen is…', 'Wat ik hardop tegen [naam] zou zeggen is…', 'Het eerste telefoontje dat ik zou plegen is naar…', 'Als ik hier nu voor zou staan, zou ik letterlijk zeggen…'</w:t>
      </w:r>
    </w:p>
    <w:p/>
    <w:p>
      <w:r>
        <w:rPr>
          <w:b/>
          <w:i w:val="0"/>
          <w:color w:val="1F2D54"/>
          <w:sz w:val="22"/>
        </w:rPr>
        <w:t>Hoe het werkt</w:t>
      </w:r>
    </w:p>
    <w:p>
      <w:r>
        <w:rPr>
          <w:b w:val="0"/>
          <w:i w:val="0"/>
          <w:color w:val="4A5568"/>
          <w:sz w:val="22"/>
        </w:rPr>
        <w:t>1. Na het bespreken van het dilemma trekt elke deelnemer blind een actiezin-kaart.</w:t>
      </w:r>
    </w:p>
    <w:p>
      <w:r>
        <w:rPr>
          <w:b w:val="0"/>
          <w:i w:val="0"/>
          <w:color w:val="4A5568"/>
          <w:sz w:val="22"/>
        </w:rPr>
        <w:t>2. De deelnemer moet de zin hardop afmaken — concreet en specifiek (een naam, een moment, een letterlijke formulering), niet in algemeenheden als 'ik zou het bespreekbaar maken'.</w:t>
      </w:r>
    </w:p>
    <w:p>
      <w:r>
        <w:rPr>
          <w:b w:val="0"/>
          <w:i w:val="0"/>
          <w:color w:val="4A5568"/>
          <w:sz w:val="22"/>
        </w:rPr>
        <w:t>3. De groep mag doorvragen zodra het antwoord te vaag blijft: 'Wat zeg je dan precies, en tegen wie?'</w:t>
      </w:r>
    </w:p>
    <w:p>
      <w:r>
        <w:rPr>
          <w:b w:val="0"/>
          <w:i w:val="0"/>
          <w:color w:val="4A5568"/>
          <w:sz w:val="22"/>
        </w:rPr>
        <w:t>4. Bespreek tot slot: welke actiezin was het makkelijkst om te bedenken, en welke het moeilijkst om ook echt hardop uit te spreken?</w:t>
      </w:r>
    </w:p>
    <w:p/>
    <w:p>
      <w:r>
        <w:rPr>
          <w:b w:val="0"/>
          <w:i/>
          <w:color w:val="0F6E56"/>
          <w:sz w:val="20"/>
        </w:rPr>
        <w:t>Praktijktip — Wees streng op concreetheid: 'ik zou er iets van zeggen' is geen geldig antwoord. Vraag door tot de deelnemer een zin uitspreekt die hij of zij morgen letterlijk zou kunnen gebruiken.</w:t>
      </w:r>
    </w:p>
    <w:p/>
    <w:p>
      <w:r>
        <w:rPr>
          <w:b/>
          <w:i w:val="0"/>
          <w:color w:val="1F2D54"/>
          <w:sz w:val="26"/>
        </w:rPr>
        <w:t>Overzicht in één oogopslag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color w:val="1F2D54"/>
                <w:sz w:val="20"/>
              </w:rPr>
              <w:t>Fase</w:t>
            </w:r>
          </w:p>
        </w:tc>
        <w:tc>
          <w:tcPr>
            <w:tcW w:type="dxa" w:w="2880"/>
          </w:tcPr>
          <w:p>
            <w:r>
              <w:rPr>
                <w:b/>
                <w:i w:val="0"/>
                <w:color w:val="1F2D54"/>
                <w:sz w:val="20"/>
              </w:rPr>
              <w:t>Werkvorm</w:t>
            </w:r>
          </w:p>
        </w:tc>
        <w:tc>
          <w:tcPr>
            <w:tcW w:type="dxa" w:w="2880"/>
          </w:tcPr>
          <w:p>
            <w:r>
              <w:rPr>
                <w:b/>
                <w:i w:val="0"/>
                <w:color w:val="1F2D54"/>
                <w:sz w:val="20"/>
              </w:rPr>
              <w:t>Kaarten nodig</w:t>
            </w:r>
          </w:p>
        </w:tc>
      </w:tr>
      <w:tr>
        <w:tc>
          <w:tcPr>
            <w:tcW w:type="dxa" w:w="2880"/>
          </w:tcPr>
          <w:p>
            <w:r>
              <w:rPr>
                <w:b w:val="0"/>
                <w:i w:val="0"/>
                <w:color w:val="4A5568"/>
                <w:sz w:val="20"/>
              </w:rPr>
              <w:t>ZIEN</w:t>
            </w:r>
          </w:p>
        </w:tc>
        <w:tc>
          <w:tcPr>
            <w:tcW w:type="dxa" w:w="2880"/>
          </w:tcPr>
          <w:p>
            <w:r>
              <w:rPr>
                <w:b w:val="0"/>
                <w:i w:val="0"/>
                <w:color w:val="4A5568"/>
                <w:sz w:val="20"/>
              </w:rPr>
              <w:t>De Kaartenwaaier</w:t>
            </w:r>
          </w:p>
        </w:tc>
        <w:tc>
          <w:tcPr>
            <w:tcW w:type="dxa" w:w="2880"/>
          </w:tcPr>
          <w:p>
            <w:r>
              <w:rPr>
                <w:b w:val="0"/>
                <w:i w:val="0"/>
                <w:color w:val="4A5568"/>
                <w:sz w:val="20"/>
              </w:rPr>
              <w:t>Signaalkaarten met korte waarnemingsvragen</w:t>
            </w:r>
          </w:p>
        </w:tc>
      </w:tr>
      <w:tr>
        <w:tc>
          <w:tcPr>
            <w:tcW w:type="dxa" w:w="2880"/>
          </w:tcPr>
          <w:p>
            <w:r>
              <w:rPr>
                <w:b w:val="0"/>
                <w:i w:val="0"/>
                <w:color w:val="4A5568"/>
                <w:sz w:val="20"/>
              </w:rPr>
              <w:t>VOELEN</w:t>
            </w:r>
          </w:p>
        </w:tc>
        <w:tc>
          <w:tcPr>
            <w:tcW w:type="dxa" w:w="2880"/>
          </w:tcPr>
          <w:p>
            <w:r>
              <w:rPr>
                <w:b w:val="0"/>
                <w:i w:val="0"/>
                <w:color w:val="4A5568"/>
                <w:sz w:val="20"/>
              </w:rPr>
              <w:t>De Empathiekaarten</w:t>
            </w:r>
          </w:p>
        </w:tc>
        <w:tc>
          <w:tcPr>
            <w:tcW w:type="dxa" w:w="2880"/>
          </w:tcPr>
          <w:p>
            <w:r>
              <w:rPr>
                <w:b w:val="0"/>
                <w:i w:val="0"/>
                <w:color w:val="4A5568"/>
                <w:sz w:val="20"/>
              </w:rPr>
              <w:t>Emotiekaarten — één gevoel per kaart, zonder uitleg</w:t>
            </w:r>
          </w:p>
        </w:tc>
      </w:tr>
      <w:tr>
        <w:tc>
          <w:tcPr>
            <w:tcW w:type="dxa" w:w="2880"/>
          </w:tcPr>
          <w:p>
            <w:r>
              <w:rPr>
                <w:b w:val="0"/>
                <w:i w:val="0"/>
                <w:color w:val="4A5568"/>
                <w:sz w:val="20"/>
              </w:rPr>
              <w:t>WEGEN</w:t>
            </w:r>
          </w:p>
        </w:tc>
        <w:tc>
          <w:tcPr>
            <w:tcW w:type="dxa" w:w="2880"/>
          </w:tcPr>
          <w:p>
            <w:r>
              <w:rPr>
                <w:b w:val="0"/>
                <w:i w:val="0"/>
                <w:color w:val="4A5568"/>
                <w:sz w:val="20"/>
              </w:rPr>
              <w:t>De Weegschaal-vloer</w:t>
            </w:r>
          </w:p>
        </w:tc>
        <w:tc>
          <w:tcPr>
            <w:tcW w:type="dxa" w:w="2880"/>
          </w:tcPr>
          <w:p>
            <w:r>
              <w:rPr>
                <w:b w:val="0"/>
                <w:i w:val="0"/>
                <w:color w:val="4A5568"/>
                <w:sz w:val="20"/>
              </w:rPr>
              <w:t>Argumentkaarten vóór en tegen een mogelijke keuze</w:t>
            </w:r>
          </w:p>
        </w:tc>
      </w:tr>
      <w:tr>
        <w:tc>
          <w:tcPr>
            <w:tcW w:type="dxa" w:w="2880"/>
          </w:tcPr>
          <w:p>
            <w:r>
              <w:rPr>
                <w:b w:val="0"/>
                <w:i w:val="0"/>
                <w:color w:val="4A5568"/>
                <w:sz w:val="20"/>
              </w:rPr>
              <w:t>HANDELEN</w:t>
            </w:r>
          </w:p>
        </w:tc>
        <w:tc>
          <w:tcPr>
            <w:tcW w:type="dxa" w:w="2880"/>
          </w:tcPr>
          <w:p>
            <w:r>
              <w:rPr>
                <w:b w:val="0"/>
                <w:i w:val="0"/>
                <w:color w:val="4A5568"/>
                <w:sz w:val="20"/>
              </w:rPr>
              <w:t>De Actiezinnenset</w:t>
            </w:r>
          </w:p>
        </w:tc>
        <w:tc>
          <w:tcPr>
            <w:tcW w:type="dxa" w:w="2880"/>
          </w:tcPr>
          <w:p>
            <w:r>
              <w:rPr>
                <w:b w:val="0"/>
                <w:i w:val="0"/>
                <w:color w:val="4A5568"/>
                <w:sz w:val="20"/>
              </w:rPr>
              <w:t>Kaarten met de aanzet van een actiezin</w:t>
            </w:r>
          </w:p>
        </w:tc>
      </w:tr>
    </w:tbl>
    <w:p/>
    <w:p>
      <w:r>
        <w:rPr>
          <w:b/>
          <w:i w:val="0"/>
          <w:color w:val="1F2D54"/>
          <w:sz w:val="24"/>
        </w:rPr>
        <w:t>Docentennotitie — veilige leeromgeving</w:t>
      </w:r>
    </w:p>
    <w:p>
      <w:r>
        <w:rPr>
          <w:b w:val="0"/>
          <w:i w:val="0"/>
          <w:color w:val="4A5568"/>
          <w:sz w:val="22"/>
        </w:rPr>
        <w:t>Laat deelnemers bij Zien en Voelen nog geen oplossing of oordeel formuleren — dat komt pas bij Wegen en Handelen. Het door elkaar laten lopen van de fasen is de meest voorkomende valkuil: een groep die te snel naar 'wat moeten we doen' springt, slaagt vaak de waarneming en het invoelen over, en mist daardoor juist de signalen die het dilemma het lastigst maken.</w:t>
      </w:r>
    </w:p>
    <w:p/>
    <w:p>
      <w:r>
        <w:rPr>
          <w:b w:val="0"/>
          <w:i/>
          <w:color w:val="534AB7"/>
          <w:sz w:val="20"/>
        </w:rPr>
        <w:t>Tip: Dit werkblad werkt goed in combinatie met gesprekskaarten uit de bibliotheek — gebruik een casuskaart als gemeenschappelijke casus voor alle vier werkvormen.</w:t>
      </w:r>
    </w:p>
    <w:p/>
    <w:p>
      <w:r>
        <w:rPr>
          <w:b w:val="0"/>
          <w:i w:val="0"/>
          <w:color w:val="5F5E5A"/>
          <w:sz w:val="18"/>
        </w:rPr>
        <w:t>Bronnen: Rest, J.R. (1986), Moral Development: Advances in Research and Theory  ·  Kidder, R.M. (2005), How Good People Make Tough Choices  ·  Tjin A Djie &amp; Zwaan (2010), Managen van diversiteit op de werkvloer</w:t>
      </w:r>
    </w:p>
    <w:p>
      <w:pPr>
        <w:jc w:val="center"/>
      </w:pPr>
      <w:r>
        <w:rPr>
          <w:b w:val="0"/>
          <w:i/>
          <w:color w:val="5F5E5A"/>
          <w:sz w:val="16"/>
        </w:rPr>
        <w:t>Fontys Hogescholen — Lectoraat Ethisch Werken · Community Moreel Vakmanschap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