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00"/>
        <w:gridCol w:w="2606"/>
      </w:tblGrid>
      <w:tr>
        <w:tc>
          <w:tcPr>
            <w:tcW w:type="dxa" w:w="7300"/>
            <w:tcBorders>
              <w:top w:val="none" w:color="FFFFFF" w:sz="0"/>
              <w:left w:val="none" w:color="FFFFFF" w:sz="0"/>
              <w:bottom w:val="single" w:color="D4A373" w:sz="24"/>
              <w:right w:val="none" w:color="FFFFFF" w:sz="0"/>
            </w:tcBorders>
            <w:shd w:fill="3F5E5A" w:color="auto" w:val="clear"/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3C98B"/>
                <w:spacing w:val="30"/>
                <w:sz w:val="16"/>
                <w:szCs w:val="16"/>
              </w:rPr>
              <w:t xml:space="preserve">TEACHER VERSION · MW01</w:t>
            </w:r>
          </w:p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What is loyalty?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DDE6F0"/>
                <w:sz w:val="19"/>
                <w:szCs w:val="19"/>
              </w:rPr>
              <w:t xml:space="preserve">Higher education (UAS) · HRM · English · accompanies the 2-page student version</w:t>
            </w:r>
          </w:p>
        </w:tc>
        <w:tc>
          <w:tcPr>
            <w:tcW w:type="dxa" w:w="2606"/>
            <w:tcBorders>
              <w:top w:val="none" w:color="FFFFFF" w:sz="0"/>
              <w:left w:val="none" w:color="FFFFFF" w:sz="0"/>
              <w:bottom w:val="single" w:color="D4A373" w:sz="24"/>
              <w:right w:val="none" w:color="FFFFFF" w:sz="0"/>
            </w:tcBorders>
            <w:shd w:fill="99355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5D9E2"/>
                <w:spacing w:val="30"/>
                <w:sz w:val="14"/>
                <w:szCs w:val="14"/>
              </w:rPr>
              <w:t xml:space="preserve">COMPLEXITY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MICRO ★☆☆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LEARNING OUTCOMES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student can use a concrete example to explore an abstract concept. (Seeing)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student can formulate a core statement and test it against counterexamples. (Weighing)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student can substantiate an underlying principle together with the group. (Weighing)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COMPLEXITY: WHY MICRO?</w:t>
      </w:r>
    </w:p>
    <w:p>
      <w:pPr>
        <w:spacing w:after="50" w:line="264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Micro: Milan decides for himself, and the tension lies between two personal values (loyalty to a friend and honesty).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Test: </w:t>
      </w:r>
      <w:r>
        <w:rPr>
          <w:rFonts w:ascii="Arial" w:cs="Arial" w:eastAsia="Arial" w:hAnsi="Arial"/>
          <w:sz w:val="19"/>
          <w:szCs w:val="19"/>
        </w:rPr>
        <w:t xml:space="preserve">“Who or what would have to change for this dilemma to disappear?” Answer: Milan’s own choice. That is Micro.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Not Meso: </w:t>
      </w:r>
      <w:r>
        <w:rPr>
          <w:rFonts w:ascii="Arial" w:cs="Arial" w:eastAsia="Arial" w:hAnsi="Arial"/>
          <w:sz w:val="19"/>
          <w:szCs w:val="19"/>
        </w:rPr>
        <w:t xml:space="preserve">no organisational rule or culture determines the choice; the team leader stays in the background (decision rule 4).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Note: </w:t>
      </w:r>
      <w:r>
        <w:rPr>
          <w:rFonts w:ascii="Arial" w:cs="Arial" w:eastAsia="Arial" w:hAnsi="Arial"/>
          <w:sz w:val="19"/>
          <w:szCs w:val="19"/>
        </w:rPr>
        <w:t xml:space="preserve">the Socratic dialogue requires an experienced facilitator. Without experience it remains an ordinary conversation.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PREPARATION AND PROCEDURE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Materials: </w:t>
      </w:r>
      <w:r>
        <w:rPr>
          <w:rFonts w:ascii="Arial" w:cs="Arial" w:eastAsia="Arial" w:hAnsi="Arial"/>
          <w:sz w:val="19"/>
          <w:szCs w:val="19"/>
        </w:rPr>
        <w:t xml:space="preserve">student version printed double-sided, pens, flip chart or screen for the core statement. Groups of 5–12. Allow 90 minutes; the full format takes 90–180 minutes.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Role of the facilitator: </w:t>
      </w:r>
      <w:r>
        <w:rPr>
          <w:rFonts w:ascii="Arial" w:cs="Arial" w:eastAsia="Arial" w:hAnsi="Arial"/>
          <w:sz w:val="19"/>
          <w:szCs w:val="19"/>
        </w:rPr>
        <w:t xml:space="preserve">make sure the facilitator only asks questions and gives no answers. Have the note-taker record the core statement word for word.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Source: </w:t>
      </w:r>
      <w:r>
        <w:rPr>
          <w:rFonts w:ascii="Arial" w:cs="Arial" w:eastAsia="Arial" w:hAnsi="Arial"/>
          <w:sz w:val="19"/>
          <w:szCs w:val="19"/>
        </w:rPr>
        <w:t xml:space="preserve">the five steps have been worked out in our own words after Heckmann (1981) and Kessels et al. (2002).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PITFALLS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group immediately gives an opinion about Milan. Remind them: first understand, then explore.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core statement is too vague or too long. Ask for one sentence.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Counterexamples are unrealistic. Ask for examples from work or internships.</w:t>
      </w:r>
    </w:p>
    <w:p>
      <w:pPr>
        <w:keepNext/>
        <w:pageBreakBefore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QUESTIONS THE FACILITATOR CAN ASK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06"/>
      </w:tblGrid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3F5E5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Phase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3F5E5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Question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7EE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3F5E5A"/>
                <w:sz w:val="17"/>
                <w:szCs w:val="17"/>
              </w:rPr>
              <w:t xml:space="preserve">Understanding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“What exactly happened? What did you think and feel at that moment?”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7EE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3F5E5A"/>
                <w:sz w:val="17"/>
                <w:szCs w:val="17"/>
              </w:rPr>
              <w:t xml:space="preserve">Core statement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“What is the core of what we see here? Can you say it in one sentence?”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7EE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3F5E5A"/>
                <w:sz w:val="17"/>
                <w:szCs w:val="17"/>
              </w:rPr>
              <w:t xml:space="preserve">Testing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“Can you think of an example where this does not hold?”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7EE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3F5E5A"/>
                <w:sz w:val="17"/>
                <w:szCs w:val="17"/>
              </w:rPr>
              <w:t xml:space="preserve">Principle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“Why is that so? What lies underneath?”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VARIATIONS AND DIFFERENTIATION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Shorter (60 min): </w:t>
      </w:r>
      <w:r>
        <w:rPr>
          <w:rFonts w:ascii="Arial" w:cs="Arial" w:eastAsia="Arial" w:hAnsi="Arial"/>
          <w:sz w:val="19"/>
          <w:szCs w:val="19"/>
        </w:rPr>
        <w:t xml:space="preserve">skip step 5 and close with the core statement.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Online: </w:t>
      </w:r>
      <w:r>
        <w:rPr>
          <w:rFonts w:ascii="Arial" w:cs="Arial" w:eastAsia="Arial" w:hAnsi="Arial"/>
          <w:sz w:val="19"/>
          <w:szCs w:val="19"/>
        </w:rPr>
        <w:t xml:space="preserve">use a shared document for the core statement.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Large group: </w:t>
      </w:r>
      <w:r>
        <w:rPr>
          <w:rFonts w:ascii="Arial" w:cs="Arial" w:eastAsia="Arial" w:hAnsi="Arial"/>
          <w:sz w:val="19"/>
          <w:szCs w:val="19"/>
        </w:rPr>
        <w:t xml:space="preserve">let groups of 6 work in parallel; one teacher facilitates each group.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Higher education (this version): </w:t>
      </w:r>
      <w:r>
        <w:rPr>
          <w:rFonts w:ascii="Arial" w:cs="Arial" w:eastAsia="Arial" w:hAnsi="Arial"/>
          <w:sz w:val="19"/>
          <w:szCs w:val="19"/>
        </w:rPr>
        <w:t xml:space="preserve">at least two ethical perspectives and a well-founded choice. For vocational education: CEFR B1 language and one question per step. For research universities: name and critique theories explicitly.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REFERENCES (APA 7)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Creative Commons. (n.d.). About CC licenses. https://creativecommons.org/share-your-work/cclicenses/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Meijer, K. (2023). Impossible and inevitable: Reconstructing the critique of business ethics [Doctoral dissertation, Tilburg University]. Ridderprint.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Heckmann, G. (1981). Das sokratische Gespräch: Erfahrungen in philosophischen Hochschulseminaren [The Socratic dialogue: Experiences in philosophical university seminars]. Schroedel.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Kessels, J., Boers, E., &amp; Mostert, P. (2002). Vrije ruimte: Filosoferen in organisaties [Free space: Philosophising in organisations]. Boom.</w:t>
      </w:r>
    </w:p>
    <w:p>
      <w:pPr>
        <w:spacing w:after="0" w:before="40"/>
      </w:pPr>
      <w:r>
        <w:rPr>
          <w:rFonts w:ascii="Arial" w:cs="Arial" w:eastAsia="Arial" w:hAnsi="Arial"/>
          <w:i/>
          <w:iCs/>
          <w:color w:val="5F5E5A"/>
          <w:sz w:val="15"/>
          <w:szCs w:val="15"/>
        </w:rPr>
        <w:t xml:space="preserve">Complexity determined using the research group’s working definition, based on the micro-meso-macro thinking of Meijer (2023).</w:t>
      </w:r>
    </w:p>
    <w:sectPr>
      <w:headerReference w:type="default" r:id="rId7"/>
      <w:footerReference w:type="default" r:id="rId8"/>
      <w:headerReference w:type="first" r:id="rId10"/>
      <w:footerReference w:type="first" r:id="rId11"/>
      <w:pgSz w:w="11906" w:h="16838" w:orient="portrait"/>
      <w:pgMar w:top="1250" w:right="1000" w:bottom="900" w:left="100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5CC" w:sz="4" w:space="4"/>
      </w:pBdr>
      <w:spacing w:before="60"/>
    </w:pPr>
    <w:r>
      <w:rPr>
        <w:rFonts w:ascii="Arial" w:cs="Arial" w:eastAsia="Arial" w:hAnsi="Arial"/>
        <w:i/>
        <w:iCs/>
        <w:color w:val="5F5E5A"/>
        <w:sz w:val="14"/>
        <w:szCs w:val="14"/>
      </w:rPr>
      <w:t xml:space="preserve">Method based on: the Socratic dialogue (Heckmann, 1981; Kessels et al., 2002; worked out in our own words). Adaptation and case: Moral Craftsmanship, moralcraftsmanship.com. Licence: CC BY-SA 4.0 – https://creativecommons.org/licenses/by-sa/4.0/deed.en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906"/>
      </w:tabs>
      <w:spacing w:after="60"/>
    </w:pPr>
    <w:r>
      <w:rPr>
        <w:rFonts w:ascii="Arial" w:cs="Arial" w:eastAsia="Arial" w:hAnsi="Arial"/>
        <w:b/>
        <w:bCs/>
        <w:color w:val="5F5E5A"/>
        <w:spacing w:val="20"/>
        <w:sz w:val="15"/>
        <w:szCs w:val="15"/>
      </w:rPr>
      <w:t xml:space="preserve">MORAL CRAFTSMANSHIP · RESEARCH GROUP ETHICAL PRACTICE · TEACHER VERSION</w:t>
    </w:r>
    <w:r>
      <w:rPr>
        <w:rFonts w:ascii="Arial" w:cs="Arial" w:eastAsia="Arial" w:hAnsi="Arial"/>
      </w:rPr>
      <w:tab/>
    </w:r>
    <w:r>
      <w:drawing>
        <wp:inline distT="0" distB="0" distL="0" distR="0">
          <wp:extent cx="838200" cy="476250"/>
          <wp:effectExtent t="0" r="0" b="0" l="0"/>
          <wp:docPr id="1" name="logo" descr="Fontys logo" title="Fonty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rFonts w:ascii="Arial" w:cs="Arial" w:eastAsia="Arial" w:hAnsi="Arial"/>
        <w:b/>
        <w:bCs/>
        <w:color w:val="5B2D8E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rFonts w:ascii="Arial" w:cs="Arial" w:eastAsia="Arial" w:hAnsi="Arial"/>
        <w:color w:val="5B2D8E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2.xml"/><Relationship Id="rId11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bf0743bdfa2aebd701f32a08f734a4287c2ee9c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MW01 What is loyalty? (Higher education HRM, EN, teacher version)</dc:title>
  <dc:creator>Moreel Vakmanschap</dc:creator>
  <cp:lastModifiedBy>Moral Craftsmanship</cp:lastModifiedBy>
  <cp:revision>1</cp:revision>
  <dcterms:created xsi:type="dcterms:W3CDTF">2026-09-30T10:35:03.309Z</dcterms:created>
  <dcterms:modified xsi:type="dcterms:W3CDTF">2026-09-30T10:35:03.309Z</dcterms:modified>
  <dc:language>en-GB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