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354F5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right to be offline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systematically map the people involved in a policy proposal.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consequences for each stakeholder in terms of wellbeing, autonomy and justice.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position and substantiate it with the matrix.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legislation and labour market policy, and no single employer or adviser can solve the dilemma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law and the social system.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how one organisation deals with availability, but what is fair for an entire market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this is a second Macro case in the series. Students may feel small; stress that advisers prepare policy positions.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watch the cells students skip; those are often the most interesting. The three principles may be adapted to the model (see variations).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matrix has been worked out in our own words after Mepham (2000).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fill in effects for employers. Ask about the silent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matrix becomes a sum. It is about weighing, not adding 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a position before the matrix. Have them fill it in first.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ANSWERS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of what is at stake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Employee with a permanent contract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Wellbeing +: rest. Autonomy −: less flexible. Justice +: equal protection.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Employee in healthcare or shift work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Little change; risk that the law mainly protects office work (justice −).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Small business owner or self-employed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Autonomy −: customer expectations remain. Wellbeing ±: setting your own boundaries becomes harder.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Customer or patient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decreases; emergencies must be clearly defined.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four parties and two principles.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worksheet with the matrix.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Adapting to the model: </w:t>
      </w:r>
      <w:r>
        <w:rPr>
          <w:rFonts w:ascii="Arial" w:cs="Arial" w:eastAsia="Arial" w:hAnsi="Arial"/>
          <w:sz w:val="19"/>
          <w:szCs w:val="19"/>
        </w:rPr>
        <w:t xml:space="preserve">replace the three principles with Seeing, Feeling, Weighing, Acting and Persisting and discuss per party.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Mepham, B. (2000). A framework for the ethical analysis of novel foods: The ethical matrix. Journal of Agricultural and Environmental Ethics, 12(2), 165–176. https://doi.org/10.1023/A:1009542714497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ethical matrix (Mepham, 2000).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MW10 The right to be offline (Higher education HRM, EN, teacher version)</dc:title>
  <dc:creator>Moreel Vakmanschap</dc:creator>
  <cp:lastModifiedBy>Moral Craftsmanship</cp:lastModifiedBy>
  <cp:revision>1</cp:revision>
  <dcterms:created xsi:type="dcterms:W3CDTF">2026-09-29T10:22:51.455Z</dcterms:created>
  <dcterms:modified xsi:type="dcterms:W3CDTF">2026-09-29T10:22:51.455Z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