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300"/>
        <w:gridCol w:w="2606"/>
      </w:tblGrid>
      <w:tr>
        <w:tc>
          <w:tcPr>
            <w:tcW w:type="dxa" w:w="7300"/>
            <w:tcBorders>
              <w:top w:val="none" w:color="FFFFFF" w:sz="0"/>
              <w:left w:val="none" w:color="FFFFFF" w:sz="0"/>
              <w:bottom w:val="single" w:color="E9A23B" w:sz="24"/>
              <w:right w:val="none" w:color="FFFFFF" w:sz="0"/>
            </w:tcBorders>
            <w:shd w:fill="7D6B2F" w:color="auto" w:val="clear"/>
            <w:tcMar>
              <w:top w:type="dxa" w:w="140"/>
              <w:left w:type="dxa" w:w="220"/>
              <w:bottom w:type="dxa" w:w="14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3C98B"/>
                <w:spacing w:val="30"/>
                <w:sz w:val="16"/>
                <w:szCs w:val="16"/>
              </w:rPr>
              <w:t xml:space="preserve">TEACHER VERSION · MW19</w:t>
            </w:r>
          </w:p>
          <w:p>
            <w:pPr>
              <w:spacing w:after="4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The email to Rosa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DDE6F0"/>
                <w:sz w:val="19"/>
                <w:szCs w:val="19"/>
              </w:rPr>
              <w:t xml:space="preserve">Higher education (UAS) · HRM · English · accompanies the 2-page student version</w:t>
            </w:r>
          </w:p>
        </w:tc>
        <w:tc>
          <w:tcPr>
            <w:tcW w:type="dxa" w:w="2606"/>
            <w:tcBorders>
              <w:top w:val="none" w:color="FFFFFF" w:sz="0"/>
              <w:left w:val="none" w:color="FFFFFF" w:sz="0"/>
              <w:bottom w:val="single" w:color="E9A23B" w:sz="24"/>
              <w:right w:val="none" w:color="FFFFFF" w:sz="0"/>
            </w:tcBorders>
            <w:shd w:fill="993556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b/>
                <w:bCs/>
                <w:color w:val="F5D9E2"/>
                <w:spacing w:val="30"/>
                <w:sz w:val="14"/>
                <w:szCs w:val="14"/>
              </w:rPr>
              <w:t xml:space="preserve">COMPLEXITY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MICRO ★☆☆</w:t>
            </w:r>
          </w:p>
        </w:tc>
      </w:tr>
    </w:tbl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LEARNING OUTCOMES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The student can name the most vulnerable person involved in a dilemma. (Seeing)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The student can use the talisman question to test an option for action of their own. (Acting)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The student can explain what a choice gives or costs the vulnerable person. (Acting)</w:t>
      </w:r>
    </w:p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COMPLEXITY: WHY MICRO?</w:t>
      </w:r>
    </w:p>
    <w:p>
      <w:pPr>
        <w:spacing w:after="50" w:line="264"/>
      </w:pPr>
      <w:r>
        <w:rPr>
          <w:rFonts w:ascii="Arial" w:cs="Arial" w:eastAsia="Arial" w:hAnsi="Arial"/>
          <w:i/>
          <w:iCs/>
          <w:sz w:val="19"/>
          <w:szCs w:val="19"/>
        </w:rPr>
        <w:t xml:space="preserve">Micro: the arrangement is fixed. The choice is about what Sanne does herself: how she writes the email and whether she informs Rosa in person.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Test: </w:t>
      </w:r>
      <w:r>
        <w:rPr>
          <w:rFonts w:ascii="Arial" w:cs="Arial" w:eastAsia="Arial" w:hAnsi="Arial"/>
          <w:sz w:val="19"/>
          <w:szCs w:val="19"/>
        </w:rPr>
        <w:t xml:space="preserve">“Who or what would have to change for this dilemma to disappear?” Answer: Sanne’s own actions within a decision that has already been taken. That is Micro.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Not Meso: </w:t>
      </w:r>
      <w:r>
        <w:rPr>
          <w:rFonts w:ascii="Arial" w:cs="Arial" w:eastAsia="Arial" w:hAnsi="Arial"/>
          <w:sz w:val="19"/>
          <w:szCs w:val="19"/>
        </w:rPr>
        <w:t xml:space="preserve">the policy itself is not the subject, only Sanne’s own step (decision rule 4).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Note: </w:t>
      </w:r>
      <w:r>
        <w:rPr>
          <w:rFonts w:ascii="Arial" w:cs="Arial" w:eastAsia="Arial" w:hAnsi="Arial"/>
          <w:sz w:val="19"/>
          <w:szCs w:val="19"/>
        </w:rPr>
        <w:t xml:space="preserve">the talisman is a test question, not a solution. It can clash with other interests. Have students name that.</w:t>
      </w:r>
    </w:p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PREPARATION AND PROCEDURE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Materials: </w:t>
      </w:r>
      <w:r>
        <w:rPr>
          <w:rFonts w:ascii="Arial" w:cs="Arial" w:eastAsia="Arial" w:hAnsi="Arial"/>
          <w:sz w:val="19"/>
          <w:szCs w:val="19"/>
        </w:rPr>
        <w:t xml:space="preserve">student version printed double-sided, pens, timer. Individual; ideal as a check-in or closing activity. Allow 15–20 minutes.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Role of the facilitator: </w:t>
      </w:r>
      <w:r>
        <w:rPr>
          <w:rFonts w:ascii="Arial" w:cs="Arial" w:eastAsia="Arial" w:hAnsi="Arial"/>
          <w:sz w:val="19"/>
          <w:szCs w:val="19"/>
        </w:rPr>
        <w:t xml:space="preserve">probe who is “vulnerable” and who decides that. Do not take a position on the arrangement.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Source and licence: </w:t>
      </w:r>
      <w:r>
        <w:rPr>
          <w:rFonts w:ascii="Arial" w:cs="Arial" w:eastAsia="Arial" w:hAnsi="Arial"/>
          <w:sz w:val="19"/>
          <w:szCs w:val="19"/>
        </w:rPr>
        <w:t xml:space="preserve">the talisman question is rendered in our own words after Pyarelal (1958). It concerns a short statement from 1947–48 that is probably in the public domain; have this checked before quoting the text literally. Nothing has been copied literally.</w:t>
      </w:r>
    </w:p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PITFALLS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Students fill in “Rosa” without thinking about who else is vulnerable. Ask: “Who else do you see?”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The talisman becomes a licence (“it’s fine as long as it benefits someone”). Ask about costs and other interests.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Students choose the safe option A. Ask: “What would Rosa herself want to know?”</w:t>
      </w:r>
    </w:p>
    <w:p>
      <w:pPr>
        <w:keepNext/>
        <w:pageBreakBefore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FOLLOW-UP QUESTIONS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906"/>
      </w:tblGrid>
      <w:tr>
        <w:tc>
          <w:tcPr>
            <w:tcW w:type="dxa" w:w="30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7D6B2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Question</w:t>
            </w:r>
          </w:p>
        </w:tc>
        <w:tc>
          <w:tcPr>
            <w:tcW w:type="dxa" w:w="69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7D6B2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Purpose</w:t>
            </w:r>
          </w:p>
        </w:tc>
      </w:tr>
      <w:tr>
        <w:tc>
          <w:tcPr>
            <w:tcW w:type="dxa" w:w="30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4F0E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7D6B2F"/>
                <w:sz w:val="17"/>
                <w:szCs w:val="17"/>
              </w:rPr>
              <w:t xml:space="preserve">Who is most vulnerable, and according to whom?</w:t>
            </w:r>
          </w:p>
        </w:tc>
        <w:tc>
          <w:tcPr>
            <w:tcW w:type="dxa" w:w="69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Change of perspective; who judges this?</w:t>
            </w:r>
          </w:p>
        </w:tc>
      </w:tr>
      <w:tr>
        <w:tc>
          <w:tcPr>
            <w:tcW w:type="dxa" w:w="30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4F0E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7D6B2F"/>
                <w:sz w:val="17"/>
                <w:szCs w:val="17"/>
              </w:rPr>
              <w:t xml:space="preserve">What does your step give that person?</w:t>
            </w:r>
          </w:p>
        </w:tc>
        <w:tc>
          <w:tcPr>
            <w:tcW w:type="dxa" w:w="69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Concrete effect instead of good intentions.</w:t>
            </w:r>
          </w:p>
        </w:tc>
      </w:tr>
      <w:tr>
        <w:tc>
          <w:tcPr>
            <w:tcW w:type="dxa" w:w="30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4F0E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7D6B2F"/>
                <w:sz w:val="17"/>
                <w:szCs w:val="17"/>
              </w:rPr>
              <w:t xml:space="preserve">What does your step cost you?</w:t>
            </w:r>
          </w:p>
        </w:tc>
        <w:tc>
          <w:tcPr>
            <w:tcW w:type="dxa" w:w="69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Naming courage and risk.</w:t>
            </w:r>
          </w:p>
        </w:tc>
      </w:tr>
      <w:tr>
        <w:tc>
          <w:tcPr>
            <w:tcW w:type="dxa" w:w="30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4F0E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7D6B2F"/>
                <w:sz w:val="17"/>
                <w:szCs w:val="17"/>
              </w:rPr>
              <w:t xml:space="preserve">What if it gives nothing?</w:t>
            </w:r>
          </w:p>
        </w:tc>
        <w:tc>
          <w:tcPr>
            <w:tcW w:type="dxa" w:w="69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Limits of the test.</w:t>
            </w:r>
          </w:p>
        </w:tc>
      </w:tr>
    </w:tbl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VARIATIONS AND DIFFERENTIATION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Shorter (10 min): </w:t>
      </w:r>
      <w:r>
        <w:rPr>
          <w:rFonts w:ascii="Arial" w:cs="Arial" w:eastAsia="Arial" w:hAnsi="Arial"/>
          <w:sz w:val="19"/>
          <w:szCs w:val="19"/>
        </w:rPr>
        <w:t xml:space="preserve">skip the table and work only with the vulnerable person and the choice.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Online: </w:t>
      </w:r>
      <w:r>
        <w:rPr>
          <w:rFonts w:ascii="Arial" w:cs="Arial" w:eastAsia="Arial" w:hAnsi="Arial"/>
          <w:sz w:val="19"/>
          <w:szCs w:val="19"/>
        </w:rPr>
        <w:t xml:space="preserve">have students post their choice in the chat.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Large group: </w:t>
      </w:r>
      <w:r>
        <w:rPr>
          <w:rFonts w:ascii="Arial" w:cs="Arial" w:eastAsia="Arial" w:hAnsi="Arial"/>
          <w:sz w:val="19"/>
          <w:szCs w:val="19"/>
        </w:rPr>
        <w:t xml:space="preserve">let pairs compare their choices and share one difference in plenary.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Higher education (this version): </w:t>
      </w:r>
      <w:r>
        <w:rPr>
          <w:rFonts w:ascii="Arial" w:cs="Arial" w:eastAsia="Arial" w:hAnsi="Arial"/>
          <w:sz w:val="19"/>
          <w:szCs w:val="19"/>
        </w:rPr>
        <w:t xml:space="preserve">at least two ethical perspectives and a well-founded choice. For vocational education: CEFR B1 language and one question per step. For research universities: name and critique theories explicitly.</w:t>
      </w:r>
    </w:p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REFERENCES (APA 7)</w:t>
      </w:r>
    </w:p>
    <w:p>
      <w:pPr>
        <w:spacing w:after="40" w:line="240"/>
        <w:ind w:left="360" w:hanging="360"/>
      </w:pPr>
      <w:r>
        <w:rPr>
          <w:rFonts w:ascii="Arial" w:cs="Arial" w:eastAsia="Arial" w:hAnsi="Arial"/>
          <w:color w:val="333333"/>
          <w:sz w:val="16"/>
          <w:szCs w:val="16"/>
        </w:rPr>
        <w:t xml:space="preserve">Creative Commons. (n.d.). About CC licenses. https://creativecommons.org/share-your-work/cclicenses/</w:t>
      </w:r>
    </w:p>
    <w:p>
      <w:pPr>
        <w:spacing w:after="40" w:line="240"/>
        <w:ind w:left="360" w:hanging="360"/>
      </w:pPr>
      <w:r>
        <w:rPr>
          <w:rFonts w:ascii="Arial" w:cs="Arial" w:eastAsia="Arial" w:hAnsi="Arial"/>
          <w:color w:val="333333"/>
          <w:sz w:val="16"/>
          <w:szCs w:val="16"/>
        </w:rPr>
        <w:t xml:space="preserve">Meijer, K. (2023). Impossible and inevitable: Reconstructing the critique of business ethics [Doctoral dissertation, Tilburg University]. Ridderprint.</w:t>
      </w:r>
    </w:p>
    <w:p>
      <w:pPr>
        <w:spacing w:after="40" w:line="240"/>
        <w:ind w:left="360" w:hanging="360"/>
      </w:pPr>
      <w:r>
        <w:rPr>
          <w:rFonts w:ascii="Arial" w:cs="Arial" w:eastAsia="Arial" w:hAnsi="Arial"/>
          <w:color w:val="333333"/>
          <w:sz w:val="16"/>
          <w:szCs w:val="16"/>
        </w:rPr>
        <w:t xml:space="preserve">Pyarelal. (1958). Mahatma Gandhi: The last phase (Vol. 2). Navajivan.</w:t>
      </w:r>
    </w:p>
    <w:p>
      <w:pPr>
        <w:spacing w:after="0" w:before="40"/>
      </w:pPr>
      <w:r>
        <w:rPr>
          <w:rFonts w:ascii="Arial" w:cs="Arial" w:eastAsia="Arial" w:hAnsi="Arial"/>
          <w:i/>
          <w:iCs/>
          <w:color w:val="5F5E5A"/>
          <w:sz w:val="15"/>
          <w:szCs w:val="15"/>
        </w:rPr>
        <w:t xml:space="preserve">Complexity determined using the research group’s working definition, based on the micro-meso-macro thinking of Meijer (2023).</w:t>
      </w:r>
    </w:p>
    <w:sectPr>
      <w:headerReference w:type="default" r:id="rId7"/>
      <w:footerReference w:type="default" r:id="rId8"/>
      <w:headerReference w:type="first" r:id="rId10"/>
      <w:footerReference w:type="first" r:id="rId11"/>
      <w:pgSz w:w="11906" w:h="16838" w:orient="portrait"/>
      <w:pgMar w:top="1250" w:right="1000" w:bottom="900" w:left="1000" w:header="500" w:footer="4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FC5CC" w:sz="4" w:space="4"/>
      </w:pBdr>
      <w:spacing w:before="60"/>
    </w:pPr>
    <w:r>
      <w:rPr>
        <w:rFonts w:ascii="Arial" w:cs="Arial" w:eastAsia="Arial" w:hAnsi="Arial"/>
        <w:i/>
        <w:iCs/>
        <w:color w:val="5F5E5A"/>
        <w:sz w:val="14"/>
        <w:szCs w:val="14"/>
      </w:rPr>
      <w:t xml:space="preserve">Method based on: Gandhi’s talisman (Pyarelal, 1958; in our own words). Adaptation and case: Moral Craftsmanship, moralcraftsmanship.com. Licence: CC BY-SA 4.0 – https://creativecommons.org/licenses/by-sa/4.0/deed.en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906"/>
      </w:tabs>
      <w:spacing w:after="60"/>
    </w:pPr>
    <w:r>
      <w:rPr>
        <w:rFonts w:ascii="Arial" w:cs="Arial" w:eastAsia="Arial" w:hAnsi="Arial"/>
        <w:b/>
        <w:bCs/>
        <w:color w:val="5F5E5A"/>
        <w:spacing w:val="20"/>
        <w:sz w:val="15"/>
        <w:szCs w:val="15"/>
      </w:rPr>
      <w:t xml:space="preserve">MORAL CRAFTSMANSHIP · RESEARCH GROUP ETHICAL PRACTICE · TEACHER VERSION</w:t>
    </w:r>
    <w:r>
      <w:rPr>
        <w:rFonts w:ascii="Arial" w:cs="Arial" w:eastAsia="Arial" w:hAnsi="Arial"/>
      </w:rPr>
      <w:tab/>
    </w:r>
    <w:r>
      <w:drawing>
        <wp:inline distT="0" distB="0" distL="0" distR="0">
          <wp:extent cx="838200" cy="476250"/>
          <wp:effectExtent t="0" r="0" b="0" l="0"/>
          <wp:docPr id="1" name="logo" descr="Fontys logo" title="Fonty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38200" cy="4762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400"/>
      </w:pPr>
      <w:rPr>
        <w:rFonts w:ascii="Arial" w:cs="Arial" w:eastAsia="Arial" w:hAnsi="Arial"/>
        <w:b/>
        <w:bCs/>
        <w:color w:val="5B2D8E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  <w:rPr>
        <w:rFonts w:ascii="Arial" w:cs="Arial" w:eastAsia="Arial" w:hAnsi="Arial"/>
        <w:color w:val="5B2D8E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Relationship Id="rId10" Type="http://schemas.openxmlformats.org/officeDocument/2006/relationships/header" Target="header2.xml"/><Relationship Id="rId11" Type="http://schemas.openxmlformats.org/officeDocument/2006/relationships/footer" Target="footer2.xml"/></Relationships>
</file>

<file path=word/_rels/header1.xml.rels><?xml version='1.0' encoding='UTF-8' standalone='yes'?>
<Relationships xmlns="http://schemas.openxmlformats.org/package/2006/relationships"><Relationship Id="rId0" Type="http://schemas.openxmlformats.org/officeDocument/2006/relationships/image" Target="media/bf0743bdfa2aebd701f32a08f734a4287c2ee9cc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MW19 The email to Rosa (Higher education HRM, EN, teacher version)</dc:title>
  <dc:creator>Moreel Vakmanschap</dc:creator>
  <cp:lastModifiedBy>Moral Craftsmanship</cp:lastModifiedBy>
  <cp:revision>1</cp:revision>
  <dcterms:created xsi:type="dcterms:W3CDTF">2026-09-30T10:47:27.766Z</dcterms:created>
  <dcterms:modified xsi:type="dcterms:W3CDTF">2026-09-30T10:47:27.766Z</dcterms:modified>
  <dc:language>en-GB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