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56B6F" w:sz="24"/>
              <w:right w:val="none" w:color="FFFFFF" w:sz="0"/>
            </w:tcBorders>
            <w:shd w:fill="355070"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TEACHER VERSION · MW20</w:t>
            </w:r>
          </w:p>
          <w:p>
            <w:pPr>
              <w:spacing w:after="40" w:line="250"/>
            </w:pPr>
            <w:r>
              <w:rPr>
                <w:rFonts w:ascii="Arial" w:cs="Arial" w:eastAsia="Arial" w:hAnsi="Arial"/>
                <w:b/>
                <w:bCs/>
                <w:color w:val="FFFFFF"/>
                <w:sz w:val="34"/>
                <w:szCs w:val="34"/>
              </w:rPr>
              <w:t xml:space="preserve">Available within 24 hours</w:t>
            </w:r>
          </w:p>
          <w:p>
            <w:pPr>
              <w:spacing w:after="0"/>
            </w:pPr>
            <w:r>
              <w:rPr>
                <w:rFonts w:ascii="Arial" w:cs="Arial" w:eastAsia="Arial" w:hAnsi="Arial"/>
                <w:color w:val="DDE6F0"/>
                <w:sz w:val="19"/>
                <w:szCs w:val="19"/>
              </w:rPr>
              <w:t xml:space="preserve">Higher education (UAS) · HRM · English · accompanies the 2-page student version</w:t>
            </w:r>
          </w:p>
        </w:tc>
        <w:tc>
          <w:tcPr>
            <w:tcW w:type="dxa" w:w="2606"/>
            <w:tcBorders>
              <w:top w:val="none" w:color="FFFFFF" w:sz="0"/>
              <w:left w:val="none" w:color="FFFFFF" w:sz="0"/>
              <w:bottom w:val="single" w:color="E56B6F"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pStyle w:val="ListParagraph"/>
        <w:numPr>
          <w:ilvl w:val="0"/>
          <w:numId w:val="2"/>
        </w:numPr>
        <w:spacing w:after="40" w:line="260"/>
      </w:pPr>
      <w:r>
        <w:rPr>
          <w:rFonts w:ascii="Arial" w:cs="Arial" w:eastAsia="Arial" w:hAnsi="Arial"/>
          <w:sz w:val="19"/>
          <w:szCs w:val="19"/>
        </w:rPr>
        <w:t xml:space="preserve">The student can substantiate a position on an HR policy question with reasons and principles. (Weighing)</w:t>
      </w:r>
    </w:p>
    <w:p>
      <w:pPr>
        <w:pStyle w:val="ListParagraph"/>
        <w:numPr>
          <w:ilvl w:val="0"/>
          <w:numId w:val="2"/>
        </w:numPr>
        <w:spacing w:after="40" w:line="260"/>
      </w:pPr>
      <w:r>
        <w:rPr>
          <w:rFonts w:ascii="Arial" w:cs="Arial" w:eastAsia="Arial" w:hAnsi="Arial"/>
          <w:sz w:val="19"/>
          <w:szCs w:val="19"/>
        </w:rPr>
        <w:t xml:space="preserve">The student can, as a critical friend, name strengths and ask targeted questions. (Weighing)</w:t>
      </w:r>
    </w:p>
    <w:p>
      <w:pPr>
        <w:pStyle w:val="ListParagraph"/>
        <w:numPr>
          <w:ilvl w:val="0"/>
          <w:numId w:val="2"/>
        </w:numPr>
        <w:spacing w:after="40" w:line="260"/>
      </w:pPr>
      <w:r>
        <w:rPr>
          <w:rFonts w:ascii="Arial" w:cs="Arial" w:eastAsia="Arial" w:hAnsi="Arial"/>
          <w:sz w:val="19"/>
          <w:szCs w:val="19"/>
        </w:rPr>
        <w:t xml:space="preserve">The student can process objections without defending what is untenable. (Weighing)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50" w:line="264"/>
      </w:pPr>
      <w:r>
        <w:rPr>
          <w:rFonts w:ascii="Arial" w:cs="Arial" w:eastAsia="Arial" w:hAnsi="Arial"/>
          <w:i/>
          <w:iCs/>
          <w:sz w:val="19"/>
          <w:szCs w:val="19"/>
        </w:rPr>
        <w:t xml:space="preserve">Meso: the HR adviser weighs the company’s wish for flexibility against the interests of employees, within the rules and culture of the organisation.</w:t>
      </w:r>
    </w:p>
    <w:p>
      <w:pPr>
        <w:pStyle w:val="ListParagraph"/>
        <w:numPr>
          <w:ilvl w:val="0"/>
          <w:numId w:val="2"/>
        </w:numPr>
        <w:spacing w:after="40" w:line="260"/>
      </w:pPr>
      <w:r>
        <w:rPr>
          <w:rFonts w:ascii="Arial" w:cs="Arial" w:eastAsia="Arial" w:hAnsi="Arial"/>
          <w:b/>
          <w:bCs/>
          <w:sz w:val="19"/>
          <w:szCs w:val="19"/>
        </w:rPr>
        <w:t xml:space="preserve">Test: </w:t>
      </w:r>
      <w:r>
        <w:rPr>
          <w:rFonts w:ascii="Arial" w:cs="Arial" w:eastAsia="Arial" w:hAnsi="Arial"/>
          <w:sz w:val="19"/>
          <w:szCs w:val="19"/>
        </w:rPr>
        <w:t xml:space="preserve">“Who or what would have to change for this dilemma to disappear?” Answer: the company’s scheduling policy. That is Meso.</w:t>
      </w:r>
    </w:p>
    <w:p>
      <w:pPr>
        <w:pStyle w:val="ListParagraph"/>
        <w:numPr>
          <w:ilvl w:val="0"/>
          <w:numId w:val="2"/>
        </w:numPr>
        <w:spacing w:after="40" w:line="260"/>
      </w:pPr>
      <w:r>
        <w:rPr>
          <w:rFonts w:ascii="Arial" w:cs="Arial" w:eastAsia="Arial" w:hAnsi="Arial"/>
          <w:b/>
          <w:bCs/>
          <w:sz w:val="19"/>
          <w:szCs w:val="19"/>
        </w:rPr>
        <w:t xml:space="preserve">Not Micro: </w:t>
      </w:r>
      <w:r>
        <w:rPr>
          <w:rFonts w:ascii="Arial" w:cs="Arial" w:eastAsia="Arial" w:hAnsi="Arial"/>
          <w:sz w:val="19"/>
          <w:szCs w:val="19"/>
        </w:rPr>
        <w:t xml:space="preserve">management, branch managers and employees play a significant role (decision rule 2).</w:t>
      </w:r>
    </w:p>
    <w:p>
      <w:pPr>
        <w:pStyle w:val="ListParagraph"/>
        <w:numPr>
          <w:ilvl w:val="0"/>
          <w:numId w:val="2"/>
        </w:numPr>
        <w:spacing w:after="40" w:line="260"/>
      </w:pPr>
      <w:r>
        <w:rPr>
          <w:rFonts w:ascii="Arial" w:cs="Arial" w:eastAsia="Arial" w:hAnsi="Arial"/>
          <w:b/>
          <w:bCs/>
          <w:sz w:val="19"/>
          <w:szCs w:val="19"/>
        </w:rPr>
        <w:t xml:space="preserve">Not Macro: </w:t>
      </w:r>
      <w:r>
        <w:rPr>
          <w:rFonts w:ascii="Arial" w:cs="Arial" w:eastAsia="Arial" w:hAnsi="Arial"/>
          <w:sz w:val="19"/>
          <w:szCs w:val="19"/>
        </w:rPr>
        <w:t xml:space="preserve">employment law is in the background, but the core is this company’s policy (decision rule 3).</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pStyle w:val="ListParagraph"/>
        <w:numPr>
          <w:ilvl w:val="0"/>
          <w:numId w:val="2"/>
        </w:numPr>
        <w:spacing w:after="40" w:line="260"/>
      </w:pPr>
      <w:r>
        <w:rPr>
          <w:rFonts w:ascii="Arial" w:cs="Arial" w:eastAsia="Arial" w:hAnsi="Arial"/>
          <w:b/>
          <w:bCs/>
          <w:sz w:val="19"/>
          <w:szCs w:val="19"/>
        </w:rPr>
        <w:t xml:space="preserve">Materials: </w:t>
      </w:r>
      <w:r>
        <w:rPr>
          <w:rFonts w:ascii="Arial" w:cs="Arial" w:eastAsia="Arial" w:hAnsi="Arial"/>
          <w:sz w:val="19"/>
          <w:szCs w:val="19"/>
        </w:rPr>
        <w:t xml:space="preserve">student version printed double-sided, pens, timer. Two teams of 3–5 students, a jury of 2–3 people (students or teachers). Allow 75 minutes.</w:t>
      </w:r>
    </w:p>
    <w:p>
      <w:pPr>
        <w:pStyle w:val="ListParagraph"/>
        <w:numPr>
          <w:ilvl w:val="0"/>
          <w:numId w:val="2"/>
        </w:numPr>
        <w:spacing w:after="40" w:line="260"/>
      </w:pPr>
      <w:r>
        <w:rPr>
          <w:rFonts w:ascii="Arial" w:cs="Arial" w:eastAsia="Arial" w:hAnsi="Arial"/>
          <w:b/>
          <w:bCs/>
          <w:sz w:val="19"/>
          <w:szCs w:val="19"/>
        </w:rPr>
        <w:t xml:space="preserve">Role of the facilitator: </w:t>
      </w:r>
      <w:r>
        <w:rPr>
          <w:rFonts w:ascii="Arial" w:cs="Arial" w:eastAsia="Arial" w:hAnsi="Arial"/>
          <w:sz w:val="19"/>
          <w:szCs w:val="19"/>
        </w:rPr>
        <w:t xml:space="preserve">make clear that the jury does not judge on winning, but on reasoning, respect for the other side and processing criticism. Use the rubric below.</w:t>
      </w:r>
    </w:p>
    <w:p>
      <w:pPr>
        <w:pStyle w:val="ListParagraph"/>
        <w:numPr>
          <w:ilvl w:val="0"/>
          <w:numId w:val="2"/>
        </w:numPr>
        <w:spacing w:after="40" w:line="260"/>
      </w:pPr>
      <w:r>
        <w:rPr>
          <w:rFonts w:ascii="Arial" w:cs="Arial" w:eastAsia="Arial" w:hAnsi="Arial"/>
          <w:b/>
          <w:bCs/>
          <w:sz w:val="19"/>
          <w:szCs w:val="19"/>
        </w:rPr>
        <w:t xml:space="preserve">Name and source: </w:t>
      </w:r>
      <w:r>
        <w:rPr>
          <w:rFonts w:ascii="Arial" w:cs="Arial" w:eastAsia="Arial" w:hAnsi="Arial"/>
          <w:sz w:val="19"/>
          <w:szCs w:val="19"/>
        </w:rPr>
        <w:t xml:space="preserve">the format has been worked out in our own words after the Ethics Bowl (Ladenson, 2001). The official name is used by APPE, which is why this method is called an ethics competition here.</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pStyle w:val="ListParagraph"/>
        <w:numPr>
          <w:ilvl w:val="0"/>
          <w:numId w:val="2"/>
        </w:numPr>
        <w:spacing w:after="40" w:line="260"/>
      </w:pPr>
      <w:r>
        <w:rPr>
          <w:rFonts w:ascii="Arial" w:cs="Arial" w:eastAsia="Arial" w:hAnsi="Arial"/>
          <w:sz w:val="19"/>
          <w:szCs w:val="19"/>
        </w:rPr>
        <w:t xml:space="preserve">Teams work against each other instead of with each other. Remind them of the role of critical friend.</w:t>
      </w:r>
    </w:p>
    <w:p>
      <w:pPr>
        <w:pStyle w:val="ListParagraph"/>
        <w:numPr>
          <w:ilvl w:val="0"/>
          <w:numId w:val="2"/>
        </w:numPr>
        <w:spacing w:after="40" w:line="260"/>
      </w:pPr>
      <w:r>
        <w:rPr>
          <w:rFonts w:ascii="Arial" w:cs="Arial" w:eastAsia="Arial" w:hAnsi="Arial"/>
          <w:sz w:val="19"/>
          <w:szCs w:val="19"/>
        </w:rPr>
        <w:t xml:space="preserve">Students only name facts. Ask about the principle behind the reason.</w:t>
      </w:r>
    </w:p>
    <w:p>
      <w:pPr>
        <w:pStyle w:val="ListParagraph"/>
        <w:numPr>
          <w:ilvl w:val="0"/>
          <w:numId w:val="2"/>
        </w:numPr>
        <w:spacing w:after="40" w:line="260"/>
      </w:pPr>
      <w:r>
        <w:rPr>
          <w:rFonts w:ascii="Arial" w:cs="Arial" w:eastAsia="Arial" w:hAnsi="Arial"/>
          <w:sz w:val="19"/>
          <w:szCs w:val="19"/>
        </w:rPr>
        <w:t xml:space="preserve">The jury rewards presentation style. Remind them of the rubric.</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RUBRIC FOR THE JURY (1 = WEAK, 4 = STRONG)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BFC5CC" w:sz="4"/>
              <w:left w:val="single" w:color="BFC5CC" w:sz="4"/>
              <w:bottom w:val="single" w:color="BFC5CC" w:sz="4"/>
              <w:right w:val="single" w:color="BFC5CC" w:sz="4"/>
            </w:tcBorders>
            <w:shd w:fill="355070"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Criterion</w:t>
            </w:r>
          </w:p>
        </w:tc>
        <w:tc>
          <w:tcPr>
            <w:tcW w:type="dxa" w:w="6906"/>
            <w:tcBorders>
              <w:top w:val="single" w:color="BFC5CC" w:sz="4"/>
              <w:left w:val="single" w:color="BFC5CC" w:sz="4"/>
              <w:bottom w:val="single" w:color="BFC5CC" w:sz="4"/>
              <w:right w:val="single" w:color="BFC5CC" w:sz="4"/>
            </w:tcBorders>
            <w:shd w:fill="355070"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What do you see at 4?</w:t>
            </w:r>
          </w:p>
        </w:tc>
      </w:tr>
      <w:tr>
        <w:tc>
          <w:tcPr>
            <w:tcW w:type="dxa" w:w="3000"/>
            <w:tcBorders>
              <w:top w:val="single" w:color="BFC5CC" w:sz="4"/>
              <w:left w:val="single" w:color="BFC5CC" w:sz="4"/>
              <w:bottom w:val="single" w:color="BFC5CC" w:sz="4"/>
              <w:right w:val="single" w:color="BFC5CC" w:sz="4"/>
            </w:tcBorders>
            <w:shd w:fill="E6EBF2" w:color="auto" w:val="clear"/>
            <w:tcMar>
              <w:top w:type="dxa" w:w="60"/>
              <w:left w:type="dxa" w:w="100"/>
              <w:bottom w:type="dxa" w:w="60"/>
              <w:right w:type="dxa" w:w="100"/>
            </w:tcMar>
          </w:tcPr>
          <w:p>
            <w:pPr>
              <w:spacing w:after="20" w:line="232"/>
            </w:pPr>
            <w:r>
              <w:rPr>
                <w:rFonts w:ascii="Arial" w:cs="Arial" w:eastAsia="Arial" w:hAnsi="Arial"/>
                <w:b/>
                <w:bCs/>
                <w:color w:val="355070"/>
                <w:sz w:val="17"/>
                <w:szCs w:val="17"/>
              </w:rPr>
              <w:t xml:space="preserve">Reasoning</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The position is clear, with reasons and principles that fit together.</w:t>
            </w:r>
          </w:p>
        </w:tc>
      </w:tr>
      <w:tr>
        <w:tc>
          <w:tcPr>
            <w:tcW w:type="dxa" w:w="3000"/>
            <w:tcBorders>
              <w:top w:val="single" w:color="BFC5CC" w:sz="4"/>
              <w:left w:val="single" w:color="BFC5CC" w:sz="4"/>
              <w:bottom w:val="single" w:color="BFC5CC" w:sz="4"/>
              <w:right w:val="single" w:color="BFC5CC" w:sz="4"/>
            </w:tcBorders>
            <w:shd w:fill="E6EBF2" w:color="auto" w:val="clear"/>
            <w:tcMar>
              <w:top w:type="dxa" w:w="60"/>
              <w:left w:type="dxa" w:w="100"/>
              <w:bottom w:type="dxa" w:w="60"/>
              <w:right w:type="dxa" w:w="100"/>
            </w:tcMar>
          </w:tcPr>
          <w:p>
            <w:pPr>
              <w:spacing w:after="20" w:line="232"/>
            </w:pPr>
            <w:r>
              <w:rPr>
                <w:rFonts w:ascii="Arial" w:cs="Arial" w:eastAsia="Arial" w:hAnsi="Arial"/>
                <w:b/>
                <w:bCs/>
                <w:color w:val="355070"/>
                <w:sz w:val="17"/>
                <w:szCs w:val="17"/>
              </w:rPr>
              <w:t xml:space="preserve">Perspectives</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At least two perspectives (consequences, rights, character) are named and applied.</w:t>
            </w:r>
          </w:p>
        </w:tc>
      </w:tr>
      <w:tr>
        <w:tc>
          <w:tcPr>
            <w:tcW w:type="dxa" w:w="3000"/>
            <w:tcBorders>
              <w:top w:val="single" w:color="BFC5CC" w:sz="4"/>
              <w:left w:val="single" w:color="BFC5CC" w:sz="4"/>
              <w:bottom w:val="single" w:color="BFC5CC" w:sz="4"/>
              <w:right w:val="single" w:color="BFC5CC" w:sz="4"/>
            </w:tcBorders>
            <w:shd w:fill="E6EBF2" w:color="auto" w:val="clear"/>
            <w:tcMar>
              <w:top w:type="dxa" w:w="60"/>
              <w:left w:type="dxa" w:w="100"/>
              <w:bottom w:type="dxa" w:w="60"/>
              <w:right w:type="dxa" w:w="100"/>
            </w:tcMar>
          </w:tcPr>
          <w:p>
            <w:pPr>
              <w:spacing w:after="20" w:line="232"/>
            </w:pPr>
            <w:r>
              <w:rPr>
                <w:rFonts w:ascii="Arial" w:cs="Arial" w:eastAsia="Arial" w:hAnsi="Arial"/>
                <w:b/>
                <w:bCs/>
                <w:color w:val="355070"/>
                <w:sz w:val="17"/>
                <w:szCs w:val="17"/>
              </w:rPr>
              <w:t xml:space="preserve">Critical friend</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Strengths are named; questions are targeted and help the other team further.</w:t>
            </w:r>
          </w:p>
        </w:tc>
      </w:tr>
      <w:tr>
        <w:tc>
          <w:tcPr>
            <w:tcW w:type="dxa" w:w="3000"/>
            <w:tcBorders>
              <w:top w:val="single" w:color="BFC5CC" w:sz="4"/>
              <w:left w:val="single" w:color="BFC5CC" w:sz="4"/>
              <w:bottom w:val="single" w:color="BFC5CC" w:sz="4"/>
              <w:right w:val="single" w:color="BFC5CC" w:sz="4"/>
            </w:tcBorders>
            <w:shd w:fill="E6EBF2" w:color="auto" w:val="clear"/>
            <w:tcMar>
              <w:top w:type="dxa" w:w="60"/>
              <w:left w:type="dxa" w:w="100"/>
              <w:bottom w:type="dxa" w:w="60"/>
              <w:right w:type="dxa" w:w="100"/>
            </w:tcMar>
          </w:tcPr>
          <w:p>
            <w:pPr>
              <w:spacing w:after="20" w:line="232"/>
            </w:pPr>
            <w:r>
              <w:rPr>
                <w:rFonts w:ascii="Arial" w:cs="Arial" w:eastAsia="Arial" w:hAnsi="Arial"/>
                <w:b/>
                <w:bCs/>
                <w:color w:val="355070"/>
                <w:sz w:val="17"/>
                <w:szCs w:val="17"/>
              </w:rPr>
              <w:t xml:space="preserve">Processing criticism</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The team adjusts its position, or explains why not.</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pStyle w:val="ListParagraph"/>
        <w:numPr>
          <w:ilvl w:val="0"/>
          <w:numId w:val="2"/>
        </w:numPr>
        <w:spacing w:after="40" w:line="260"/>
      </w:pPr>
      <w:r>
        <w:rPr>
          <w:rFonts w:ascii="Arial" w:cs="Arial" w:eastAsia="Arial" w:hAnsi="Arial"/>
          <w:b/>
          <w:bCs/>
          <w:sz w:val="19"/>
          <w:szCs w:val="19"/>
        </w:rPr>
        <w:t xml:space="preserve">Shorter (50 min): </w:t>
      </w:r>
      <w:r>
        <w:rPr>
          <w:rFonts w:ascii="Arial" w:cs="Arial" w:eastAsia="Arial" w:hAnsi="Arial"/>
          <w:sz w:val="19"/>
          <w:szCs w:val="19"/>
        </w:rPr>
        <w:t xml:space="preserve">one round, without the second case.</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use breakout rooms for preparation and one main room for the presentation.</w:t>
      </w:r>
    </w:p>
    <w:p>
      <w:pPr>
        <w:pStyle w:val="ListParagraph"/>
        <w:numPr>
          <w:ilvl w:val="0"/>
          <w:numId w:val="2"/>
        </w:numPr>
        <w:spacing w:after="40" w:line="260"/>
      </w:pPr>
      <w:r>
        <w:rPr>
          <w:rFonts w:ascii="Arial" w:cs="Arial" w:eastAsia="Arial" w:hAnsi="Arial"/>
          <w:b/>
          <w:bCs/>
          <w:sz w:val="19"/>
          <w:szCs w:val="19"/>
        </w:rPr>
        <w:t xml:space="preserve">Large group: </w:t>
      </w:r>
      <w:r>
        <w:rPr>
          <w:rFonts w:ascii="Arial" w:cs="Arial" w:eastAsia="Arial" w:hAnsi="Arial"/>
          <w:sz w:val="19"/>
          <w:szCs w:val="19"/>
        </w:rPr>
        <w:t xml:space="preserve">let several pairs of teams work at the same time, each with its own jury.</w:t>
      </w:r>
    </w:p>
    <w:p>
      <w:pPr>
        <w:pStyle w:val="ListParagraph"/>
        <w:numPr>
          <w:ilvl w:val="0"/>
          <w:numId w:val="2"/>
        </w:numPr>
        <w:spacing w:after="40" w:line="260"/>
      </w:pPr>
      <w:r>
        <w:rPr>
          <w:rFonts w:ascii="Arial" w:cs="Arial" w:eastAsia="Arial" w:hAnsi="Arial"/>
          <w:b/>
          <w:bCs/>
          <w:sz w:val="19"/>
          <w:szCs w:val="19"/>
        </w:rPr>
        <w:t xml:space="preserve">Higher education (this version): </w:t>
      </w:r>
      <w:r>
        <w:rPr>
          <w:rFonts w:ascii="Arial" w:cs="Arial" w:eastAsia="Arial" w:hAnsi="Arial"/>
          <w:sz w:val="19"/>
          <w:szCs w:val="19"/>
        </w:rPr>
        <w:t xml:space="preserve">at least two ethical perspectives and a well-founded choice. For vocational education: CEFR B1 language and one question per step. For research universities: name and critique theories explicitly.</w:t>
      </w:r>
    </w:p>
    <w:p>
      <w:pPr>
        <w:keepNext/>
        <w:pBdr>
          <w:bottom w:val="single" w:color="5B2D8E" w:sz="8" w:space="2"/>
        </w:pBdr>
        <w:spacing w:after="90" w:before="200"/>
      </w:pPr>
      <w:r>
        <w:rPr>
          <w:rFonts w:ascii="Arial" w:cs="Arial" w:eastAsia="Arial" w:hAnsi="Arial"/>
          <w:b/>
          <w:bCs/>
          <w:color w:val="5B2D8E"/>
          <w:spacing w:val="30"/>
          <w:sz w:val="20"/>
          <w:szCs w:val="20"/>
        </w:rPr>
        <w:t xml:space="preserve">REFERENCES (APA 7)</w:t>
      </w:r>
    </w:p>
    <w:p>
      <w:pPr>
        <w:spacing w:after="40" w:line="240"/>
        <w:ind w:left="360" w:hanging="360"/>
      </w:pPr>
      <w:r>
        <w:rPr>
          <w:rFonts w:ascii="Arial" w:cs="Arial" w:eastAsia="Arial" w:hAnsi="Arial"/>
          <w:color w:val="333333"/>
          <w:sz w:val="16"/>
          <w:szCs w:val="16"/>
        </w:rPr>
        <w:t xml:space="preserve">Creative Commons. (n.d.). About CC licenses. https://creativecommons.org/share-your-work/cclicenses/</w:t>
      </w:r>
    </w:p>
    <w:p>
      <w:pPr>
        <w:spacing w:after="40" w:line="240"/>
        <w:ind w:left="360" w:hanging="360"/>
      </w:pPr>
      <w:r>
        <w:rPr>
          <w:rFonts w:ascii="Arial" w:cs="Arial" w:eastAsia="Arial" w:hAnsi="Arial"/>
          <w:color w:val="333333"/>
          <w:sz w:val="16"/>
          <w:szCs w:val="16"/>
        </w:rPr>
        <w:t xml:space="preserve">Meijer, K. (2023). Impossible and inevitable: Reconstructing the critique of business ethics [Doctoral dissertation, Tilburg University]. Ridderprint.</w:t>
      </w:r>
    </w:p>
    <w:p>
      <w:pPr>
        <w:spacing w:after="40" w:line="240"/>
        <w:ind w:left="360" w:hanging="360"/>
      </w:pPr>
      <w:r>
        <w:rPr>
          <w:rFonts w:ascii="Arial" w:cs="Arial" w:eastAsia="Arial" w:hAnsi="Arial"/>
          <w:color w:val="333333"/>
          <w:sz w:val="16"/>
          <w:szCs w:val="16"/>
        </w:rPr>
        <w:t xml:space="preserve">Ladenson, R. F. (2001). The educational significance of the Ethics Bowl. Teaching Ethics, 1(1), 63–78.</w:t>
      </w:r>
    </w:p>
    <w:p>
      <w:pPr>
        <w:spacing w:after="0" w:before="40"/>
      </w:pPr>
      <w:r>
        <w:rPr>
          <w:rFonts w:ascii="Arial" w:cs="Arial" w:eastAsia="Arial" w:hAnsi="Arial"/>
          <w:i/>
          <w:iCs/>
          <w:color w:val="5F5E5A"/>
          <w:sz w:val="15"/>
          <w:szCs w:val="15"/>
        </w:rPr>
        <w:t xml:space="preserve">Complexity determined using the research group’s working definition, based on the micro-meso-macro thinking of Meijer (2023).</w:t>
      </w:r>
    </w:p>
    <w:sectPr>
      <w:headerReference w:type="default" r:id="rId7"/>
      <w:footerReference w:type="default" r:id="rId8"/>
      <w:headerReference w:type="first" r:id="rId10"/>
      <w:footerReference w:type="first" r:id="rId11"/>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ethics competition (after the Ethics Bowl format, Ladenson, 2001; own name and elaboration).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TEACHER VERSION</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MW20 Available within 24 hours (Higher education HRM, EN, teacher version)</dc:title>
  <dc:creator>Moreel Vakmanschap</dc:creator>
  <cp:lastModifiedBy>Moral Craftsmanship</cp:lastModifiedBy>
  <cp:revision>1</cp:revision>
  <dcterms:created xsi:type="dcterms:W3CDTF">2026-09-30T09:24:23.676Z</dcterms:created>
  <dcterms:modified xsi:type="dcterms:W3CDTF">2026-09-30T09:24:23.676Z</dcterms:modified>
  <dc:language>en-GB</dc:language>
</cp:coreProperties>
</file>

<file path=docProps/custom.xml><?xml version="1.0" encoding="utf-8"?>
<Properties xmlns="http://schemas.openxmlformats.org/officeDocument/2006/custom-properties" xmlns:vt="http://schemas.openxmlformats.org/officeDocument/2006/docPropsVTypes"/>
</file>