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C9ADA7" w:sz="24"/>
              <w:right w:val="none" w:color="FFFFFF" w:sz="0"/>
            </w:tcBorders>
            <w:shd w:fill="4A4E69"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MW21 — ACADEMIC CONTROVERSY · HRM</w:t>
            </w:r>
          </w:p>
          <w:p>
            <w:pPr>
              <w:spacing w:after="40" w:line="250"/>
            </w:pPr>
            <w:r>
              <w:rPr>
                <w:rFonts w:ascii="Arial" w:cs="Arial" w:eastAsia="Arial" w:hAnsi="Arial"/>
                <w:b/>
                <w:bCs/>
                <w:color w:val="FFFFFF"/>
                <w:sz w:val="34"/>
                <w:szCs w:val="34"/>
              </w:rPr>
              <w:t xml:space="preserve">Salaries on the table?</w:t>
            </w:r>
          </w:p>
          <w:p>
            <w:pPr>
              <w:spacing w:after="0"/>
            </w:pPr>
            <w:r>
              <w:rPr>
                <w:rFonts w:ascii="Arial" w:cs="Arial" w:eastAsia="Arial" w:hAnsi="Arial"/>
                <w:color w:val="DDE6F0"/>
                <w:sz w:val="19"/>
                <w:szCs w:val="19"/>
              </w:rPr>
              <w:t xml:space="preserve">Case: Nassau Construction Group</w:t>
            </w:r>
          </w:p>
        </w:tc>
        <w:tc>
          <w:tcPr>
            <w:tcW w:type="dxa" w:w="2606"/>
            <w:tcBorders>
              <w:top w:val="none" w:color="FFFFFF" w:sz="0"/>
              <w:left w:val="none" w:color="FFFFFF" w:sz="0"/>
              <w:bottom w:val="single" w:color="C9ADA7"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60 min     Group: Groups of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9ADA7" w:sz="6"/>
              <w:left w:val="single" w:color="C9ADA7" w:sz="6"/>
              <w:bottom w:val="single" w:color="C9ADA7" w:sz="6"/>
              <w:right w:val="single" w:color="C9ADA7"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DEC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Nassau Construction Group has 450 employees. The director asks HR for a proposal: should the salary scales per job be visible to everyone within the company from now on? Some managers say it is fair and builds trust. Others say it will lead to quarrels and jealousy.</w:t>
            </w:r>
          </w:p>
          <w:p>
            <w:pPr>
              <w:spacing w:after="100" w:line="288"/>
            </w:pPr>
            <w:r>
              <w:rPr>
                <w:rFonts w:ascii="Arial" w:cs="Arial" w:eastAsia="Arial" w:hAnsi="Arial"/>
                <w:sz w:val="21"/>
                <w:szCs w:val="21"/>
              </w:rPr>
              <w:t xml:space="preserve">HR adviser Amira feels torn. A colleague who sees her pay rising says: “Finally some clarity.” A manager says: “Now everyone will want a raise.” And an employee asks: “Why does he earn more than me, in the same job?”</w:t>
            </w:r>
          </w:p>
          <w:p>
            <w:pPr>
              <w:spacing w:after="40" w:line="288"/>
            </w:pPr>
            <w:r>
              <w:rPr>
                <w:rFonts w:ascii="Arial" w:cs="Arial" w:eastAsia="Arial" w:hAnsi="Arial"/>
                <w:sz w:val="21"/>
                <w:szCs w:val="21"/>
              </w:rPr>
              <w:t xml:space="preserve">The director wants Amira to put the arguments of both sides in one document. Then she has to give an advice the company can stand behind. Amira decides to work out both sides seriously first.</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Form pairs: pair A is in favour of openness, pair B is against.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Round 1: each pair prepares its position. Write down three arguments.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Round 2: the pairs take turns to present. The other pair asks questions and takes notes.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Round 3: switch sides. Now defend the other pair’s position as strongly as possible.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Round 4: drop the roles. Together, look for an advice the group of four can stand behind.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Fill in the reflection.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4253"/>
        <w:gridCol w:w="4253"/>
      </w:tblGrid>
      <w:tr>
        <w:trPr>
          <w:tblHeader/>
        </w:trPr>
        <w:tc>
          <w:tcPr>
            <w:tcW w:type="dxa" w:w="1400"/>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253"/>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For openness</w:t>
            </w:r>
          </w:p>
        </w:tc>
        <w:tc>
          <w:tcPr>
            <w:tcW w:type="dxa" w:w="4253"/>
            <w:tcBorders>
              <w:top w:val="single" w:color="BFC5CC" w:sz="4"/>
              <w:left w:val="single" w:color="BFC5CC" w:sz="4"/>
              <w:bottom w:val="single" w:color="BFC5CC" w:sz="4"/>
              <w:right w:val="single" w:color="BFC5CC" w:sz="4"/>
            </w:tcBorders>
            <w:shd w:fill="4A4E69"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Against openness</w:t>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1</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2</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400"/>
            <w:tcBorders>
              <w:top w:val="single" w:color="BFC5CC" w:sz="4"/>
              <w:left w:val="single" w:color="BFC5CC" w:sz="4"/>
              <w:bottom w:val="single" w:color="BFC5CC" w:sz="4"/>
              <w:right w:val="single" w:color="BFC5CC" w:sz="4"/>
            </w:tcBorders>
            <w:shd w:fill="EDECF0" w:color="auto" w:val="clear"/>
            <w:tcMar>
              <w:top w:type="dxa" w:w="80"/>
              <w:left w:type="dxa" w:w="110"/>
              <w:bottom w:type="dxa" w:w="80"/>
              <w:right w:type="dxa" w:w="110"/>
            </w:tcMar>
          </w:tcPr>
          <w:p>
            <w:pPr>
              <w:spacing w:after="20"/>
            </w:pPr>
            <w:r>
              <w:rPr>
                <w:rFonts w:ascii="Arial" w:cs="Arial" w:eastAsia="Arial" w:hAnsi="Arial"/>
                <w:b/>
                <w:bCs/>
                <w:color w:val="4A4E69"/>
                <w:sz w:val="19"/>
                <w:szCs w:val="19"/>
              </w:rPr>
              <w:t xml:space="preserve">Argument 3</w:t>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253"/>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ROUND 3 — THE STRONGEST ARGUMENT OF THE OTHER SIDE</w:t>
      </w:r>
    </w:p>
    <w:p>
      <w:pPr>
        <w:spacing w:after="0"/>
      </w:pPr>
      <w:r>
        <w:rPr>
          <w:rFonts w:ascii="Arial" w:cs="Arial" w:eastAsia="Arial" w:hAnsi="Arial"/>
          <w:b/>
          <w:bCs/>
          <w:sz w:val="20"/>
          <w:szCs w:val="20"/>
        </w:rPr>
        <w:t xml:space="preserve">The strongest argument I had to defend, and why it is strong:</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ROUND 4 — OUR SHARED ADVICE</w:t>
      </w:r>
    </w:p>
    <w:p>
      <w:pPr>
        <w:spacing w:after="0"/>
      </w:pPr>
      <w:r>
        <w:rPr>
          <w:rFonts w:ascii="Arial" w:cs="Arial" w:eastAsia="Arial" w:hAnsi="Arial"/>
          <w:b/>
          <w:bCs/>
          <w:sz w:val="20"/>
          <w:szCs w:val="20"/>
        </w:rPr>
        <w:t xml:space="preserve">We advise … because …</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spacing w:after="0"/>
      </w:pPr>
      <w:r>
        <w:rPr>
          <w:rFonts w:ascii="Arial" w:cs="Arial" w:eastAsia="Arial" w:hAnsi="Arial"/>
          <w:b/>
          <w:bCs/>
          <w:sz w:val="20"/>
          <w:szCs w:val="20"/>
        </w:rPr>
        <w:t xml:space="preserve">What do we still disagree on?</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What changed in your position when you had to defend the other side? Support your answer with at least two perspectives, for example justice and consequences.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structured academic controversy (Johnson &amp; Johnson, 1993).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abace29eb0a081245f0fa845373ed46d8e0a57.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MW21 Salaries on the table? (Higher education HRM, EN, student version)</dc:title>
  <dc:creator>Moreel Vakmanschap</dc:creator>
  <cp:lastModifiedBy>Moral Craftsmanship</cp:lastModifiedBy>
  <cp:revision>1</cp:revision>
  <dcterms:created xsi:type="dcterms:W3CDTF">2026-09-30T08:50:14.950Z</dcterms:created>
  <dcterms:modified xsi:type="dcterms:W3CDTF">2026-09-30T08:50:14.950Z</dcterms:modified>
  <dc:language>en-GB</dc:language>
</cp:coreProperties>
</file>

<file path=docProps/custom.xml><?xml version="1.0" encoding="utf-8"?>
<Properties xmlns="http://schemas.openxmlformats.org/officeDocument/2006/custom-properties" xmlns:vt="http://schemas.openxmlformats.org/officeDocument/2006/docPropsVTypes"/>
</file>