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C9ADA7" w:sz="24"/>
              <w:right w:val="none" w:color="FFFFFF" w:sz="0"/>
            </w:tcBorders>
            <w:shd w:fill="4A4E69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MW21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Salaries on the table?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C9ADA7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work out and defend arguments for and against an HR policy choice.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represent the other’s position as strongly as possible.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a joint, well-founded advice.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fairness and transparency against relationships and the culture within the company.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company deals with pay differences.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management, managers and employees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rules on pay transparency (such as the EU Pay Transparency Directive) are in the background, but the core is this company’s policy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four, divided into two pairs. Allow 60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guard the switch of sides in round 3; it is the core of the method. In round 4, ask for an advice, not a compromise.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Closing: </w:t>
      </w:r>
      <w:r>
        <w:rPr>
          <w:rFonts w:ascii="Arial" w:cs="Arial" w:eastAsia="Arial" w:hAnsi="Arial"/>
          <w:sz w:val="19"/>
          <w:szCs w:val="19"/>
        </w:rPr>
        <w:t xml:space="preserve">let a few groups of four present their advice and compare.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hold on to their own side in round 3. Remind them that they must do justice to the other side.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Round 4 becomes an average. Ask about the reason behind the advice.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A pair agrees with the other side. Have them write down the strongest argument of their own side anyway.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POSSIBLE ARGUMENTS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A4E6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Side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A4E6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 arguments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D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A4E69"/>
                <w:sz w:val="17"/>
                <w:szCs w:val="17"/>
              </w:rPr>
              <w:t xml:space="preserve">For openness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Trust and fairness; pay gaps between men and women become visible; less guessing and fewer rumours.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D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A4E69"/>
                <w:sz w:val="17"/>
                <w:szCs w:val="17"/>
              </w:rPr>
              <w:t xml:space="preserve">Against openness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Employee privacy; mutual comparison and jealousy; pressure on managers to explain everything.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D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A4E69"/>
                <w:sz w:val="17"/>
                <w:szCs w:val="17"/>
              </w:rPr>
              <w:t xml:space="preserve">Possible advice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Only salary bands per job made public; individual salaries not; a fixed moment for objections.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D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A4E69"/>
                <w:sz w:val="17"/>
                <w:szCs w:val="17"/>
              </w:rPr>
              <w:t xml:space="preserve">Question for the debrief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needs to be in place first before openness works?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(45 min): </w:t>
      </w:r>
      <w:r>
        <w:rPr>
          <w:rFonts w:ascii="Arial" w:cs="Arial" w:eastAsia="Arial" w:hAnsi="Arial"/>
          <w:sz w:val="19"/>
          <w:szCs w:val="19"/>
        </w:rPr>
        <w:t xml:space="preserve">skip round 2.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breakout rooms for the pairs and a shared document for round 4.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several groups of four work at the same time and discuss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[Doctoral dissertation,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Johnson, D. W., &amp; Johnson, R. T. (1993). Creative and critical thinking through academic controversy. American Behavioral Scientist, 37(1), 40–53. https://doi.org/10.1177/0002764293037001005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Meijer (2023).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structured academic controversy (Johnson &amp; Johnson, 1993).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MW21 Salaries on the table? (Higher education HRM, EN, teacher version)</dc:title>
  <dc:creator>Moreel Vakmanschap</dc:creator>
  <cp:lastModifiedBy>Moral Craftsmanship</cp:lastModifiedBy>
  <cp:revision>1</cp:revision>
  <dcterms:created xsi:type="dcterms:W3CDTF">2026-09-30T08:50:15.163Z</dcterms:created>
  <dcterms:modified xsi:type="dcterms:W3CDTF">2026-09-30T08:50:15.163Z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