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9A441" w:sz="24"/>
              <w:right w:val="none" w:color="FFFFFF" w:sz="0"/>
            </w:tcBorders>
            <w:shd w:fill="4B5320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What I say and what I 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9A441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and rank their own core values. (Feeling)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recognise a difference between stated values and their own behaviour. (Feeling)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one concrete action that fits a chosen value. (Feeling)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Amira looks at the tension between her own values and her own behaviour, and can decide for herself what she changes.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Amira’s own choices.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workload plays a role, but the core of the story is the gap between saying and doing in one person (decision rules 1 and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the student works with their own values. The level of the case says nothing about the level of what the student shares.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Individual work, then pairs. Allow 40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keep it light and safe. Say beforehand that a “no” at “did I act on it?” is not a failure, but information.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Agreements beforehand: </w:t>
      </w:r>
      <w:r>
        <w:rPr>
          <w:rFonts w:ascii="Arial" w:cs="Arial" w:eastAsia="Arial" w:hAnsi="Arial"/>
          <w:sz w:val="19"/>
          <w:szCs w:val="19"/>
        </w:rPr>
        <w:t xml:space="preserve">sharing in pairs is voluntary. The listener gives no advice and does not judge.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values that sound socially desirable. Ask: “Where do you see that in your diary?”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pair conversation turns into an advice session. Remind them of the listening rule.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feel judged. Stress that the form does not have to be handed in.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FOLLOW-UP QUESTIONS IN PAIRS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B53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Moment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B53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On the value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does this value mean to you, in one sentence?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On the moment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exactly happened, and what did you do then?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On the gap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stops you from doing what you consider important?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On the action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is the smallest step you can take this week?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(25 min): </w:t>
      </w:r>
      <w:r>
        <w:rPr>
          <w:rFonts w:ascii="Arial" w:cs="Arial" w:eastAsia="Arial" w:hAnsi="Arial"/>
          <w:sz w:val="19"/>
          <w:szCs w:val="19"/>
        </w:rPr>
        <w:t xml:space="preserve">choose a top 3 instead of a top 5.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document and pairs in breakout rooms.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have students write their top 5 on cards and cluster them in plenary without names.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Raths, L. E., Harmin, M., &amp; Simon, S. B. (1966). Values and teaching: Working with values in the classroom. Charles E. Merrill.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values clarification (Raths, Harmin &amp; Simon, 1966).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MW27 What I say and what I do (Higher education HRM, EN, teacher version)</dc:title>
  <dc:creator>Moreel Vakmanschap</dc:creator>
  <cp:lastModifiedBy>Moral Craftsmanship</cp:lastModifiedBy>
  <cp:revision>1</cp:revision>
  <dcterms:created xsi:type="dcterms:W3CDTF">2026-09-29T09:58:37.031Z</dcterms:created>
  <dcterms:modified xsi:type="dcterms:W3CDTF">2026-09-29T09:58:37.031Z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