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p>
    <w:tbl>
      <w:tblPr>
        <w:tblW w:type="dxa" w:w="9360"/>
        <w:tblBorders>
          <w:top w:val="none"/>
          <w:left w:val="none"/>
          <w:bottom w:val="none"/>
          <w:right w:val="none"/>
          <w:insideH w:val="single" w:color="auto" w:sz="4"/>
          <w:insideV w:val="single" w:color="auto" w:sz="4"/>
        </w:tblBorders>
      </w:tblPr>
      <w:tblGrid>
        <w:gridCol w:w="2700"/>
        <w:gridCol w:w="1800"/>
        <w:gridCol w:w="3060"/>
        <w:gridCol w:w="1800"/>
      </w:tblGrid>
      <w:tr>
        <w:tc>
          <w:tcPr>
            <w:tcW w:type="dxa" w:w="27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Naam</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Datum</w:t>
            </w:r>
          </w:p>
          <w:p>
            <w:pPr>
              <w:pBdr>
                <w:bottom w:val="single" w:color="1A1A1A" w:sz="4"/>
              </w:pBdr>
              <w:spacing w:after="40"/>
            </w:pPr>
            <w:r>
              <w:rPr>
                <w:rFonts w:ascii="Arial" w:cs="Arial" w:eastAsia="Arial" w:hAnsi="Arial"/>
                <w:sz w:val="20"/>
                <w:szCs w:val="20"/>
              </w:rPr>
              <w:t xml:space="preserve">   </w:t>
            </w:r>
          </w:p>
        </w:tc>
        <w:tc>
          <w:tcPr>
            <w:tcW w:type="dxa" w:w="306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Opleiding</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Klas / Groep</w:t>
            </w:r>
          </w:p>
          <w:p>
            <w:pPr>
              <w:pBdr>
                <w:bottom w:val="single" w:color="1A1A1A" w:sz="4"/>
              </w:pBdr>
              <w:spacing w:after="40"/>
            </w:pPr>
            <w:r>
              <w:rPr>
                <w:rFonts w:ascii="Arial" w:cs="Arial" w:eastAsia="Arial" w:hAnsi="Arial"/>
                <w:sz w:val="20"/>
                <w:szCs w:val="20"/>
              </w:rPr>
              <w:t xml:space="preserve">   </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8"/>
              <w:bottom w:val="none"/>
              <w:right w:val="none"/>
            </w:tcBorders>
            <w:shd w:fill="F4F4F4" w:val="clear"/>
            <w:tcMar>
              <w:top w:type="dxa" w:w="120"/>
              <w:left w:type="dxa" w:w="200"/>
              <w:bottom w:type="dxa" w:w="120"/>
              <w:right w:type="dxa" w:w="200"/>
            </w:tcMar>
          </w:tcPr>
          <w:p>
            <w:r>
              <w:rPr>
                <w:rFonts w:ascii="Arial" w:cs="Arial" w:eastAsia="Arial" w:hAnsi="Arial"/>
                <w:b/>
                <w:bCs/>
                <w:color w:val="1A1A1A"/>
                <w:sz w:val="26"/>
                <w:szCs w:val="26"/>
              </w:rPr>
              <w:t xml:space="preserve">Transactionele Analyse</w:t>
            </w:r>
          </w:p>
          <w:p>
            <w:r>
              <w:rPr>
                <w:rFonts w:ascii="Arial" w:cs="Arial" w:eastAsia="Arial" w:hAnsi="Arial"/>
                <w:i/>
                <w:iCs/>
                <w:color w:val="666666"/>
                <w:sz w:val="18"/>
                <w:szCs w:val="18"/>
              </w:rPr>
              <w:t xml:space="preserve">Zelfinzicht  ·  Communicatie  ·  Professionele houding</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Theoretische achtergrond — Transactionele Analyse</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Wat is Transactionele Analyse (TA)?</w:t>
            </w:r>
          </w:p>
        </w:tc>
      </w:tr>
    </w:tbl>
    <w:p>
      <w:pPr>
        <w:spacing w:after="80" w:before="0"/>
      </w:pPr>
    </w:p>
    <w:p>
      <w:pPr>
        <w:spacing w:after="80" w:before="80"/>
      </w:pPr>
      <w:r>
        <w:rPr>
          <w:rFonts w:ascii="Arial" w:cs="Arial" w:eastAsia="Arial" w:hAnsi="Arial"/>
          <w:i w:val="false"/>
          <w:iCs w:val="false"/>
          <w:color w:val="1A1A1A"/>
          <w:sz w:val="20"/>
          <w:szCs w:val="20"/>
        </w:rPr>
        <w:t xml:space="preserve">Transactionele Analyse (TA) is een psychologische theorie ontwikkeld door de Amerikaanse psychiater Eric Berne in de jaren vijftig van de twintigste eeuw. TA beschrijft hoe mensen communiceren, relaties aangaan en patronen in hun gedrag ontwikkelen.</w:t>
      </w:r>
    </w:p>
    <w:p>
      <w:pPr>
        <w:spacing w:after="80" w:before="0"/>
      </w:pPr>
    </w:p>
    <w:p>
      <w:pPr>
        <w:spacing w:after="80" w:before="80"/>
      </w:pPr>
      <w:r>
        <w:rPr>
          <w:rFonts w:ascii="Arial" w:cs="Arial" w:eastAsia="Arial" w:hAnsi="Arial"/>
          <w:i w:val="false"/>
          <w:iCs w:val="false"/>
          <w:color w:val="1A1A1A"/>
          <w:sz w:val="20"/>
          <w:szCs w:val="20"/>
        </w:rPr>
        <w:t xml:space="preserve">De kern van TA is dat mensen communiceren vanuit drie zogenaamde Ik-toestanden:</w:t>
      </w:r>
    </w:p>
    <w:p>
      <w:pPr>
        <w:pStyle w:val="ListParagraph"/>
        <w:numPr>
          <w:ilvl w:val="0"/>
          <w:numId w:val="2"/>
        </w:numPr>
        <w:spacing w:after="40" w:before="40"/>
      </w:pPr>
      <w:r>
        <w:rPr>
          <w:rFonts w:ascii="Arial" w:cs="Arial" w:eastAsia="Arial" w:hAnsi="Arial"/>
          <w:color w:val="1A1A1A"/>
          <w:sz w:val="20"/>
          <w:szCs w:val="20"/>
        </w:rPr>
        <w:t xml:space="preserve">Ouder-ik: gedrag en overtuigingen die we hebben geïnternaliseerd van opvoedende figuren</w:t>
      </w:r>
    </w:p>
    <w:p>
      <w:pPr>
        <w:pStyle w:val="ListParagraph"/>
        <w:numPr>
          <w:ilvl w:val="0"/>
          <w:numId w:val="2"/>
        </w:numPr>
        <w:spacing w:after="40" w:before="40"/>
      </w:pPr>
      <w:r>
        <w:rPr>
          <w:rFonts w:ascii="Arial" w:cs="Arial" w:eastAsia="Arial" w:hAnsi="Arial"/>
          <w:color w:val="1A1A1A"/>
          <w:sz w:val="20"/>
          <w:szCs w:val="20"/>
        </w:rPr>
        <w:t xml:space="preserve">Volwassen-ik: rationeel en situatiegericht reageren op de werkelijkheid</w:t>
      </w:r>
    </w:p>
    <w:p>
      <w:pPr>
        <w:pStyle w:val="ListParagraph"/>
        <w:numPr>
          <w:ilvl w:val="0"/>
          <w:numId w:val="2"/>
        </w:numPr>
        <w:spacing w:after="40" w:before="40"/>
      </w:pPr>
      <w:r>
        <w:rPr>
          <w:rFonts w:ascii="Arial" w:cs="Arial" w:eastAsia="Arial" w:hAnsi="Arial"/>
          <w:color w:val="1A1A1A"/>
          <w:sz w:val="20"/>
          <w:szCs w:val="20"/>
        </w:rPr>
        <w:t xml:space="preserve">Kind-ik: spontane, emotionele reacties die hun oorsprong hebben in onze vroege ervaringen</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De vier levensposities</w:t>
            </w:r>
          </w:p>
        </w:tc>
      </w:tr>
    </w:tbl>
    <w:p>
      <w:pPr>
        <w:spacing w:after="80" w:before="0"/>
      </w:pPr>
    </w:p>
    <w:p>
      <w:pPr>
        <w:spacing w:after="80" w:before="80"/>
      </w:pPr>
      <w:r>
        <w:rPr>
          <w:rFonts w:ascii="Arial" w:cs="Arial" w:eastAsia="Arial" w:hAnsi="Arial"/>
          <w:i w:val="false"/>
          <w:iCs w:val="false"/>
          <w:color w:val="1A1A1A"/>
          <w:sz w:val="20"/>
          <w:szCs w:val="20"/>
        </w:rPr>
        <w:t xml:space="preserve">Een centraal begrip binnen TA is de levenshouding of levenspositie: de fundamentele overtuiging die iemand heeft over de eigen waarde én de waarde van anderen. Thomas Harris (1967) werkte dit uit in het boek 'I'm OK — You're OK'. Er zijn vier basisposities: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1A1A1A" w:sz="6"/>
              <w:right w:val="none"/>
            </w:tcBorders>
            <w:shd w:fill="FFFFFF" w:val="clear"/>
            <w:tcMar>
              <w:top w:type="dxa" w:w="60"/>
              <w:left w:type="dxa" w:w="160"/>
              <w:bottom w:type="dxa" w:w="60"/>
              <w:right w:type="dxa" w:w="160"/>
            </w:tcMar>
          </w:tcPr>
          <w:p>
            <w:pPr>
              <w:jc w:val="center"/>
            </w:pPr>
            <w:r>
              <w:rPr>
                <w:rFonts w:ascii="Arial" w:cs="Arial" w:eastAsia="Arial" w:hAnsi="Arial"/>
                <w:b/>
                <w:bCs/>
                <w:color w:val="1A1A1A"/>
                <w:sz w:val="18"/>
                <w:szCs w:val="18"/>
              </w:rPr>
              <w:t xml:space="preserve">⊕  Jij bent OK</w:t>
            </w:r>
          </w:p>
        </w:tc>
        <w:tc>
          <w:tcPr>
            <w:tcW w:type="dxa" w:w="4680"/>
            <w:tcBorders>
              <w:top w:val="none"/>
              <w:left w:val="none"/>
              <w:bottom w:val="single" w:color="1A1A1A" w:sz="6"/>
              <w:right w:val="none"/>
            </w:tcBorders>
            <w:shd w:fill="FFFFFF" w:val="clear"/>
            <w:tcMar>
              <w:top w:type="dxa" w:w="60"/>
              <w:left w:type="dxa" w:w="160"/>
              <w:bottom w:type="dxa" w:w="60"/>
              <w:right w:type="dxa" w:w="160"/>
            </w:tcMar>
          </w:tcPr>
          <w:p>
            <w:pPr>
              <w:jc w:val="center"/>
            </w:pPr>
            <w:r>
              <w:rPr>
                <w:rFonts w:ascii="Arial" w:cs="Arial" w:eastAsia="Arial" w:hAnsi="Arial"/>
                <w:b/>
                <w:bCs/>
                <w:color w:val="666666"/>
                <w:sz w:val="18"/>
                <w:szCs w:val="18"/>
              </w:rPr>
              <w:t xml:space="preserve">⊖  Jij bent NIET OK</w:t>
            </w:r>
          </w:p>
        </w:tc>
      </w:tr>
      <w:tr>
        <w:tc>
          <w:tcPr>
            <w:tcW w:type="dxa" w:w="4680"/>
            <w:tcBorders>
              <w:top w:val="single" w:color="1A1A1A" w:sz="6"/>
              <w:left w:val="single" w:color="1A1A1A" w:sz="6"/>
              <w:bottom w:val="single" w:color="1A1A1A" w:sz="6"/>
              <w:right w:val="single" w:color="1A1A1A" w:sz="6"/>
            </w:tcBorders>
            <w:shd w:fill="FFFFFF" w:val="clear"/>
            <w:tcMar>
              <w:top w:type="dxa" w:w="120"/>
              <w:left w:type="dxa" w:w="160"/>
              <w:bottom w:type="dxa" w:w="120"/>
              <w:right w:type="dxa" w:w="160"/>
            </w:tcMar>
          </w:tcPr>
          <w:p>
            <w:r>
              <w:rPr>
                <w:rFonts w:ascii="Arial" w:cs="Arial" w:eastAsia="Arial" w:hAnsi="Arial"/>
                <w:b/>
                <w:bCs/>
                <w:color w:val="1A1A1A"/>
                <w:sz w:val="19"/>
                <w:szCs w:val="19"/>
              </w:rPr>
              <w:t xml:space="preserve">IK BEN OK — JIJ BENT OK</w:t>
            </w:r>
          </w:p>
          <w:p>
            <w:pPr>
              <w:spacing w:after="60"/>
            </w:pPr>
            <w:r>
              <w:rPr>
                <w:rFonts w:ascii="Arial" w:cs="Arial" w:eastAsia="Arial" w:hAnsi="Arial"/>
                <w:i/>
                <w:iCs/>
                <w:color w:val="666666"/>
                <w:sz w:val="17"/>
                <w:szCs w:val="17"/>
              </w:rPr>
              <w:t xml:space="preserve">Gezond · Gelijkwaardig · Verbindend</w:t>
            </w:r>
          </w:p>
          <w:p>
            <w:r>
              <w:rPr>
                <w:rFonts w:ascii="Arial" w:cs="Arial" w:eastAsia="Arial" w:hAnsi="Arial"/>
                <w:color w:val="1A1A1A"/>
                <w:sz w:val="18"/>
                <w:szCs w:val="18"/>
              </w:rPr>
              <w:t xml:space="preserve">Je ziet jezelf én de ander als waardevol. Basis voor echte samenwerking en respect.</w:t>
            </w:r>
          </w:p>
        </w:tc>
        <w:tc>
          <w:tcPr>
            <w:tcW w:type="dxa" w:w="4680"/>
            <w:tcBorders>
              <w:top w:val="single" w:color="1A1A1A" w:sz="6"/>
              <w:left w:val="single" w:color="1A1A1A" w:sz="6"/>
              <w:bottom w:val="single" w:color="1A1A1A" w:sz="6"/>
              <w:right w:val="single" w:color="1A1A1A" w:sz="6"/>
            </w:tcBorders>
            <w:shd w:fill="E8E8E8" w:val="clear"/>
            <w:tcMar>
              <w:top w:type="dxa" w:w="120"/>
              <w:left w:type="dxa" w:w="160"/>
              <w:bottom w:type="dxa" w:w="120"/>
              <w:right w:type="dxa" w:w="160"/>
            </w:tcMar>
          </w:tcPr>
          <w:p>
            <w:r>
              <w:rPr>
                <w:rFonts w:ascii="Arial" w:cs="Arial" w:eastAsia="Arial" w:hAnsi="Arial"/>
                <w:b/>
                <w:bCs/>
                <w:color w:val="1A1A1A"/>
                <w:sz w:val="19"/>
                <w:szCs w:val="19"/>
              </w:rPr>
              <w:t xml:space="preserve">IK BEN OK — JIJ BENT NIET OK</w:t>
            </w:r>
          </w:p>
          <w:p>
            <w:pPr>
              <w:spacing w:after="60"/>
            </w:pPr>
            <w:r>
              <w:rPr>
                <w:rFonts w:ascii="Arial" w:cs="Arial" w:eastAsia="Arial" w:hAnsi="Arial"/>
                <w:i/>
                <w:iCs/>
                <w:color w:val="666666"/>
                <w:sz w:val="17"/>
                <w:szCs w:val="17"/>
              </w:rPr>
              <w:t xml:space="preserve">Superioriteit · Kritisch · Afstand</w:t>
            </w:r>
          </w:p>
          <w:p>
            <w:r>
              <w:rPr>
                <w:rFonts w:ascii="Arial" w:cs="Arial" w:eastAsia="Arial" w:hAnsi="Arial"/>
                <w:color w:val="1A1A1A"/>
                <w:sz w:val="18"/>
                <w:szCs w:val="18"/>
              </w:rPr>
              <w:t xml:space="preserve">Je plaatst jezelf boven de ander. Risico op betweterij, gebrek aan empathie.</w:t>
            </w:r>
          </w:p>
        </w:tc>
      </w:tr>
      <w:tr>
        <w:tc>
          <w:tcPr>
            <w:tcW w:type="dxa" w:w="4680"/>
            <w:tcBorders>
              <w:top w:val="single" w:color="1A1A1A" w:sz="6"/>
              <w:left w:val="single" w:color="1A1A1A" w:sz="6"/>
              <w:bottom w:val="single" w:color="1A1A1A" w:sz="6"/>
              <w:right w:val="single" w:color="1A1A1A" w:sz="6"/>
            </w:tcBorders>
            <w:shd w:fill="E8E8E8" w:val="clear"/>
            <w:tcMar>
              <w:top w:type="dxa" w:w="120"/>
              <w:left w:type="dxa" w:w="160"/>
              <w:bottom w:type="dxa" w:w="120"/>
              <w:right w:type="dxa" w:w="160"/>
            </w:tcMar>
          </w:tcPr>
          <w:p>
            <w:r>
              <w:rPr>
                <w:rFonts w:ascii="Arial" w:cs="Arial" w:eastAsia="Arial" w:hAnsi="Arial"/>
                <w:b/>
                <w:bCs/>
                <w:color w:val="1A1A1A"/>
                <w:sz w:val="19"/>
                <w:szCs w:val="19"/>
              </w:rPr>
              <w:t xml:space="preserve">IK BEN NIET OK — JIJ BENT OK</w:t>
            </w:r>
          </w:p>
          <w:p>
            <w:pPr>
              <w:spacing w:after="60"/>
            </w:pPr>
            <w:r>
              <w:rPr>
                <w:rFonts w:ascii="Arial" w:cs="Arial" w:eastAsia="Arial" w:hAnsi="Arial"/>
                <w:i/>
                <w:iCs/>
                <w:color w:val="666666"/>
                <w:sz w:val="17"/>
                <w:szCs w:val="17"/>
              </w:rPr>
              <w:t xml:space="preserve">Onderdanigheid · Onzekerheid · Afhankelijkheid</w:t>
            </w:r>
          </w:p>
          <w:p>
            <w:r>
              <w:rPr>
                <w:rFonts w:ascii="Arial" w:cs="Arial" w:eastAsia="Arial" w:hAnsi="Arial"/>
                <w:color w:val="1A1A1A"/>
                <w:sz w:val="18"/>
                <w:szCs w:val="18"/>
              </w:rPr>
              <w:t xml:space="preserve">Je onderschat jezelf. Risico op slachtofferrol, moeite met assertiviteit.</w:t>
            </w:r>
          </w:p>
        </w:tc>
        <w:tc>
          <w:tcPr>
            <w:tcW w:type="dxa" w:w="4680"/>
            <w:tcBorders>
              <w:top w:val="single" w:color="1A1A1A" w:sz="6"/>
              <w:left w:val="single" w:color="1A1A1A" w:sz="6"/>
              <w:bottom w:val="single" w:color="1A1A1A" w:sz="6"/>
              <w:right w:val="single" w:color="1A1A1A" w:sz="6"/>
            </w:tcBorders>
            <w:shd w:fill="E8E8E8" w:val="clear"/>
            <w:tcMar>
              <w:top w:type="dxa" w:w="120"/>
              <w:left w:type="dxa" w:w="160"/>
              <w:bottom w:type="dxa" w:w="120"/>
              <w:right w:type="dxa" w:w="160"/>
            </w:tcMar>
          </w:tcPr>
          <w:p>
            <w:r>
              <w:rPr>
                <w:rFonts w:ascii="Arial" w:cs="Arial" w:eastAsia="Arial" w:hAnsi="Arial"/>
                <w:b/>
                <w:bCs/>
                <w:color w:val="1A1A1A"/>
                <w:sz w:val="19"/>
                <w:szCs w:val="19"/>
              </w:rPr>
              <w:t xml:space="preserve">IK BEN NIET OK — JIJ BENT NIET OK</w:t>
            </w:r>
          </w:p>
          <w:p>
            <w:pPr>
              <w:spacing w:after="60"/>
            </w:pPr>
            <w:r>
              <w:rPr>
                <w:rFonts w:ascii="Arial" w:cs="Arial" w:eastAsia="Arial" w:hAnsi="Arial"/>
                <w:i/>
                <w:iCs/>
                <w:color w:val="666666"/>
                <w:sz w:val="17"/>
                <w:szCs w:val="17"/>
              </w:rPr>
              <w:t xml:space="preserve">Hopeloosheid · Isolatie · Nihilisme</w:t>
            </w:r>
          </w:p>
          <w:p>
            <w:r>
              <w:rPr>
                <w:rFonts w:ascii="Arial" w:cs="Arial" w:eastAsia="Arial" w:hAnsi="Arial"/>
                <w:color w:val="1A1A1A"/>
                <w:sz w:val="18"/>
                <w:szCs w:val="18"/>
              </w:rPr>
              <w:t xml:space="preserve">Zowel jezelf als de ander worden als waardeloos gezien. Meest kwetsbare positie.</w:t>
            </w:r>
          </w:p>
        </w:tc>
      </w:tr>
    </w:tbl>
    <w:p>
      <w:pPr>
        <w:spacing w:after="100" w:before="0"/>
      </w:pPr>
    </w:p>
    <w:p>
      <w:pPr>
        <w:spacing w:after="120" w:before="60"/>
      </w:pPr>
      <w:r>
        <w:rPr>
          <w:rFonts w:ascii="Arial" w:cs="Arial" w:eastAsia="Arial" w:hAnsi="Arial"/>
          <w:i/>
          <w:iCs/>
          <w:color w:val="666666"/>
          <w:sz w:val="18"/>
          <w:szCs w:val="18"/>
        </w:rPr>
        <w:t xml:space="preserve">Let op: de levenspositie 'Ik ben OK — Jij bent OK' is de gezonde, gelijkwaardige basishouding. Ze is niet hetzelfde als naïef positief denken — het gaat om het erkennen van de fundamentele menselijke waardigheid van jezelf én de ander, ook als er fouten worden gemaakt of conflicten ontstaan.</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TA in professionele contexten</w:t>
            </w:r>
          </w:p>
        </w:tc>
      </w:tr>
    </w:tbl>
    <w:p>
      <w:pPr>
        <w:spacing w:after="80" w:before="0"/>
      </w:pPr>
    </w:p>
    <w:p>
      <w:pPr>
        <w:spacing w:after="80" w:before="80"/>
      </w:pPr>
      <w:r>
        <w:rPr>
          <w:rFonts w:ascii="Arial" w:cs="Arial" w:eastAsia="Arial" w:hAnsi="Arial"/>
          <w:i w:val="false"/>
          <w:iCs w:val="false"/>
          <w:color w:val="1A1A1A"/>
          <w:sz w:val="20"/>
          <w:szCs w:val="20"/>
        </w:rPr>
        <w:t xml:space="preserve">In het werkveld — of dat nu HRM, Sociaal Werk, Pedagogiek of Bestuurskunde is — beïnvloedt jouw levenspositie direct hoe je met cliënten, collega's en leidinggevenden omgaat. Bewustzijn van jouw levenspositie is daarmee niet alleen zinvol voor persoonlijke ontwikkeling, maar een professionele basisvaardigheid.</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Reflectievragen — Op weg naar meer zelfinzicht</w:t>
            </w:r>
          </w:p>
        </w:tc>
      </w:tr>
    </w:tbl>
    <w:p>
      <w:pPr>
        <w:spacing w:after="80" w:before="0"/>
      </w:pPr>
    </w:p>
    <w:p>
      <w:pPr>
        <w:spacing w:after="120" w:before="60"/>
      </w:pPr>
      <w:r>
        <w:rPr>
          <w:rFonts w:ascii="Arial" w:cs="Arial" w:eastAsia="Arial" w:hAnsi="Arial"/>
          <w:i/>
          <w:iCs/>
          <w:color w:val="666666"/>
          <w:sz w:val="18"/>
          <w:szCs w:val="18"/>
        </w:rPr>
        <w:t xml:space="preserve">Beantwoord de volgende vragen zo eerlijk en concreet mogelijk. Er zijn geen goede of foute antwoorden — het gaat om inzicht in je eigen patronen.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V1</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Herkenning van je eigen levenspositie</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In welke situaties herken jij jezelf in één van de vier posities? Geef een concreet voorbeeld uit je stage, werk of dagelijkse leven. Welke positie was dat, en hoe merkte je dat aan jouw gedrag of gevoel?</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Patronen uit je verleden</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Denk terug aan je opvoeding of vroege ervaringen. Welke boodschappen — bewust of onbewust — heb je meegekregen over jouw eigen waarde en die van anderen? Hoe zie je die terugkomen in jouw huidige manier van communiceren?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V3</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De ander in jouw blikveld</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Zijn er bepaalde types mensen of situaties waarbij jij automatisch in een minder gezonde levenspositie terechtkomt? Wat gebeurt er dan in jou, en wat heeft dat voor effect op de interactie?</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V4</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Ethisch dilemma — Wanneer gelijkwaardigheid wringt</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Stel: je werkt met een cliënt die herhaaldelijk keuzes maakt die jij schadelijk vindt. Vanuit welke levenspositie is het ethisch meest verantwoord te handelen? Wat vraagt dat van jou als professional?</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V5</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Groei — Wat wil ik veranderen?</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concrete stap kun jij zetten om vaker te communiceren vanuit 'Ik ben OK — Jij bent OK'? Formuleer één persoonlijk ontwikkeldoel: in welke situatie, met wie, en wat ga je anders doen?</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Verdiepingsopdracht — In tweetallen of plenair</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Gespreksoefening (15 minuten)</w:t>
            </w:r>
          </w:p>
        </w:tc>
      </w:tr>
    </w:tbl>
    <w:p>
      <w:pPr>
        <w:spacing w:after="80" w:before="0"/>
      </w:pPr>
    </w:p>
    <w:p>
      <w:pPr>
        <w:pStyle w:val="ListParagraph"/>
        <w:numPr>
          <w:ilvl w:val="0"/>
          <w:numId w:val="2"/>
        </w:numPr>
        <w:spacing w:after="40" w:before="40"/>
      </w:pPr>
      <w:r>
        <w:rPr>
          <w:rFonts w:ascii="Arial" w:cs="Arial" w:eastAsia="Arial" w:hAnsi="Arial"/>
          <w:color w:val="1A1A1A"/>
          <w:sz w:val="20"/>
          <w:szCs w:val="20"/>
        </w:rPr>
        <w:t xml:space="preserve">Kies samen een korte rollenspelsituatie uit jullie toekomstige beroepspraktijk.</w:t>
      </w:r>
    </w:p>
    <w:p>
      <w:pPr>
        <w:pStyle w:val="ListParagraph"/>
        <w:numPr>
          <w:ilvl w:val="0"/>
          <w:numId w:val="2"/>
        </w:numPr>
        <w:spacing w:after="40" w:before="40"/>
      </w:pPr>
      <w:r>
        <w:rPr>
          <w:rFonts w:ascii="Arial" w:cs="Arial" w:eastAsia="Arial" w:hAnsi="Arial"/>
          <w:color w:val="1A1A1A"/>
          <w:sz w:val="20"/>
          <w:szCs w:val="20"/>
        </w:rPr>
        <w:t xml:space="preserve">Speel de situatie tweemaal: eenmaal vanuit een niet-gezonde levenspositie, dan vanuit 'Ik ben OK — Jij bent OK'.</w:t>
      </w:r>
    </w:p>
    <w:p>
      <w:pPr>
        <w:pStyle w:val="ListParagraph"/>
        <w:numPr>
          <w:ilvl w:val="0"/>
          <w:numId w:val="2"/>
        </w:numPr>
        <w:spacing w:after="40" w:before="40"/>
      </w:pPr>
      <w:r>
        <w:rPr>
          <w:rFonts w:ascii="Arial" w:cs="Arial" w:eastAsia="Arial" w:hAnsi="Arial"/>
          <w:color w:val="1A1A1A"/>
          <w:sz w:val="20"/>
          <w:szCs w:val="20"/>
        </w:rPr>
        <w:t xml:space="preserve">Bespreek wat jullie opmerkten: in toon, woordkeuze, lichaamshouding en effect op de gesprekspartner.</w:t>
      </w:r>
    </w:p>
    <w:p>
      <w:pPr>
        <w:spacing w:after="100" w:before="0"/>
      </w:pPr>
    </w:p>
    <w:p>
      <w:pPr>
        <w:spacing w:after="80" w:before="80"/>
      </w:pPr>
      <w:r>
        <w:rPr>
          <w:rFonts w:ascii="Arial" w:cs="Arial" w:eastAsia="Arial" w:hAnsi="Arial"/>
          <w:i/>
          <w:iCs/>
          <w:color w:val="1A1A1A"/>
          <w:sz w:val="20"/>
          <w:szCs w:val="20"/>
        </w:rPr>
        <w:t xml:space="preserve">Plenaire reflectievraag:</w:t>
      </w:r>
    </w:p>
    <w:p>
      <w:pPr>
        <w:spacing w:after="80" w:before="80"/>
      </w:pPr>
      <w:r>
        <w:rPr>
          <w:rFonts w:ascii="Arial" w:cs="Arial" w:eastAsia="Arial" w:hAnsi="Arial"/>
          <w:i w:val="false"/>
          <w:iCs w:val="false"/>
          <w:color w:val="1A1A1A"/>
          <w:sz w:val="20"/>
          <w:szCs w:val="20"/>
        </w:rPr>
        <w:t xml:space="preserve">Welke levenspositie is dominant aanwezig in de organisatiecultuur van jouw stageplek? Welk effect heeft dit op medewerkers én cliënten?</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
            </w:r>
            <w:r>
              <w:rPr>
                <w:rFonts w:ascii="Arial" w:cs="Arial" w:eastAsia="Arial" w:hAnsi="Arial"/>
                <w:b/>
                <w:bCs/>
                <w:color w:val="FFFFFF"/>
                <w:sz w:val="22"/>
                <w:szCs w:val="22"/>
              </w:rPr>
              <w:t xml:space="preserve">Literatuur &amp; Bronnen</w:t>
            </w:r>
          </w:p>
        </w:tc>
      </w:tr>
    </w:tbl>
    <w:p>
      <w:pPr>
        <w:spacing w:after="120" w:before="0"/>
      </w:pPr>
    </w:p>
    <w:p>
      <w:pPr>
        <w:spacing w:after="80" w:before="80"/>
      </w:pPr>
      <w:r>
        <w:rPr>
          <w:rFonts w:ascii="Arial" w:cs="Arial" w:eastAsia="Arial" w:hAnsi="Arial"/>
          <w:i w:val="false"/>
          <w:iCs w:val="false"/>
          <w:color w:val="1A1A1A"/>
          <w:sz w:val="20"/>
          <w:szCs w:val="20"/>
        </w:rPr>
        <w:t xml:space="preserve">Berne, E. (1964). Games People Play: The psychology of human relationships. Grove Press.</w:t>
      </w:r>
    </w:p>
    <w:p>
      <w:pPr>
        <w:spacing w:after="80" w:before="80"/>
      </w:pPr>
      <w:r>
        <w:rPr>
          <w:rFonts w:ascii="Arial" w:cs="Arial" w:eastAsia="Arial" w:hAnsi="Arial"/>
          <w:i w:val="false"/>
          <w:iCs w:val="false"/>
          <w:color w:val="1A1A1A"/>
          <w:sz w:val="20"/>
          <w:szCs w:val="20"/>
        </w:rPr>
        <w:t xml:space="preserve">Harris, T.A. (1967). I'm OK — You're OK. Harper &amp; Row.</w:t>
      </w:r>
    </w:p>
    <w:p>
      <w:pPr>
        <w:spacing w:after="80" w:before="80"/>
      </w:pPr>
      <w:r>
        <w:rPr>
          <w:rFonts w:ascii="Arial" w:cs="Arial" w:eastAsia="Arial" w:hAnsi="Arial"/>
          <w:i w:val="false"/>
          <w:iCs w:val="false"/>
          <w:color w:val="1A1A1A"/>
          <w:sz w:val="20"/>
          <w:szCs w:val="20"/>
        </w:rPr>
        <w:t xml:space="preserve">Stewart, I. &amp; Joines, V. (1987). TA Today: A new introduction to transactional analysis. Lifespace Publishing.</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BBBBBB" w:sz="4"/>
              <w:left w:val="none"/>
              <w:bottom w:val="single" w:color="BBBBBB" w:sz="4"/>
              <w:right w:val="none"/>
            </w:tcBorders>
            <w:shd w:fill="F0F0F0" w:val="clear"/>
            <w:tcMar>
              <w:top w:type="dxa" w:w="120"/>
              <w:left w:type="dxa" w:w="200"/>
              <w:bottom w:type="dxa" w:w="120"/>
              <w:right w:type="dxa" w:w="200"/>
            </w:tcMar>
          </w:tcPr>
          <w:p>
            <w:r>
              <w:rPr>
                <w:rFonts w:ascii="Arial" w:cs="Arial" w:eastAsia="Arial" w:hAnsi="Arial"/>
                <w:b/>
                <w:bCs/>
                <w:color w:val="666666"/>
                <w:sz w:val="18"/>
                <w:szCs w:val="18"/>
              </w:rPr>
              <w:t xml:space="preserve">Ethische notitie voor de docent</w:t>
            </w:r>
          </w:p>
          <w:p>
            <w:pPr>
              <w:spacing w:after="60" w:before="0"/>
            </w:pPr>
          </w:p>
          <w:p>
            <w:r>
              <w:rPr>
                <w:rFonts w:ascii="Arial" w:cs="Arial" w:eastAsia="Arial" w:hAnsi="Arial"/>
                <w:i/>
                <w:iCs/>
                <w:color w:val="666666"/>
                <w:sz w:val="18"/>
                <w:szCs w:val="18"/>
              </w:rPr>
              <w:t xml:space="preserve">Dit werkblad nodigt studenten uit tot persoonlijke zelfreflectie. Benadruk dat antwoorden niet worden beoordeeld op inhoud, maar op diepgang en eerlijkheid van het reflectieproces. Zorg voor een veilige leeromgeving. Vermijd het beoordelen van iemands levenspositie als fout — het gaat om bewustwording, niet om pathologisering.</w:t>
            </w:r>
          </w:p>
        </w:tc>
      </w:tr>
    </w:tbl>
    <w:p>
      <w:pPr>
        <w:spacing w:after="100" w:before="0"/>
      </w:pPr>
    </w:p>
    <w:p>
      <w:pPr>
        <w:jc w:val="center"/>
      </w:pPr>
      <w:r>
        <w:rPr>
          <w:rFonts w:ascii="Arial" w:cs="Arial" w:eastAsia="Arial" w:hAnsi="Arial"/>
          <w:color w:val="BBBBBB"/>
          <w:sz w:val="16"/>
          <w:szCs w:val="16"/>
        </w:rPr>
        <w:t xml:space="preserve">© Fontys Hogescholen — Lectoraat Ethisch Werken — Reeks Moreel Vakmanschap</w:t>
      </w:r>
    </w:p>
    <w:sectPr>
      <w:headerReference w:type="default" r:id="rId7"/>
      <w:footerReference w:type="default" r:id="rId8"/>
      <w:pgSz w:w="11906" w:h="16838" w:orient="portrait"/>
      <w:pgMar w:top="16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360"/>
      </w:tabs>
      <w:spacing w:before="80"/>
    </w:pPr>
    <w:r>
      <w:rPr>
        <w:rFonts w:ascii="Arial" w:cs="Arial" w:eastAsia="Arial" w:hAnsi="Arial"/>
        <w:color w:val="666666"/>
        <w:sz w:val="16"/>
        <w:szCs w:val="16"/>
      </w:rPr>
      <w:t xml:space="preserve">Moreel Vakmanschap — Ik ben OK — Jij bent OK</w:t>
    </w:r>
    <w:r>
      <w:rPr>
        <w:rFonts w:ascii="Arial" w:cs="Arial" w:eastAsia="Arial" w:hAnsi="Arial"/>
        <w:color w:val="BBBBBB"/>
        <w:sz w:val="16"/>
        <w:szCs w:val="16"/>
      </w:rPr>
      <w:t xml:space="preserve">	© Fontys Lectoraat Ethisch Werken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2100"/>
      <w:gridCol w:w="5560"/>
      <w:gridCol w:w="1700"/>
    </w:tblGrid>
    <w:tr>
      <w:tc>
        <w:tcPr>
          <w:tcW w:type="dxa" w:w="2100"/>
          <w:tcBorders>
            <w:top w:val="none"/>
            <w:left w:val="none"/>
            <w:bottom w:val="none"/>
            <w:right w:val="none"/>
          </w:tcBorders>
          <w:tcMar>
            <w:top w:type="dxa" w:w="0"/>
            <w:left w:type="dxa" w:w="0"/>
            <w:bottom w:type="dxa" w:w="0"/>
            <w:right w:type="dxa" w:w="160"/>
          </w:tcMar>
          <w:vAlign w:val="center"/>
        </w:tcPr>
        <w:p>
          <w:r>
            <w:rPr>
              <w:rFonts w:ascii="Arial" w:cs="Arial" w:eastAsia="Arial" w:hAnsi="Arial"/>
              <w:color w:val="666666"/>
              <w:sz w:val="16"/>
              <w:szCs w:val="16"/>
            </w:rPr>
            <w:t xml:space="preserve">Fontys Lectoraat</w:t>
          </w:r>
        </w:p>
        <w:p>
          <w:r>
            <w:rPr>
              <w:rFonts w:ascii="Arial" w:cs="Arial" w:eastAsia="Arial" w:hAnsi="Arial"/>
              <w:b/>
              <w:bCs/>
              <w:color w:val="1A1A1A"/>
              <w:sz w:val="16"/>
              <w:szCs w:val="16"/>
            </w:rPr>
            <w:t xml:space="preserve">Ethisch Werken</w:t>
          </w:r>
        </w:p>
      </w:tc>
      <w:tc>
        <w:tcPr>
          <w:tcW w:type="dxa" w:w="5560"/>
          <w:tcBorders>
            <w:top w:val="none"/>
            <w:left w:val="none"/>
            <w:bottom w:val="none"/>
            <w:right w:val="single" w:color="1A1A1A" w:sz="8"/>
          </w:tcBorders>
          <w:tcMar>
            <w:top w:type="dxa" w:w="0"/>
            <w:left w:type="dxa" w:w="160"/>
            <w:bottom w:type="dxa" w:w="0"/>
            <w:right w:type="dxa" w:w="160"/>
          </w:tcMar>
          <w:vAlign w:val="center"/>
        </w:tcPr>
        <w:p>
          <w:pPr>
            <w:jc w:val="right"/>
          </w:pPr>
          <w:r>
            <w:rPr>
              <w:rFonts w:ascii="Arial" w:cs="Arial" w:eastAsia="Arial" w:hAnsi="Arial"/>
              <w:b/>
              <w:bCs/>
              <w:color w:val="1A1A1A"/>
              <w:sz w:val="22"/>
              <w:szCs w:val="22"/>
            </w:rPr>
            <w:t xml:space="preserve">Ik ben OK — Jij bent OK</w:t>
          </w:r>
        </w:p>
        <w:p>
          <w:pPr>
            <w:jc w:val="right"/>
          </w:pPr>
          <w:r>
            <w:rPr>
              <w:rFonts w:ascii="Arial" w:cs="Arial" w:eastAsia="Arial" w:hAnsi="Arial"/>
              <w:color w:val="666666"/>
              <w:sz w:val="18"/>
              <w:szCs w:val="18"/>
            </w:rPr>
            <w:t xml:space="preserve">Moreel Vakmanschap</w:t>
          </w:r>
        </w:p>
      </w:tc>
      <w:tc>
        <w:tcPr>
          <w:tcW w:type="dxa" w:w="1700"/>
          <w:tcBorders>
            <w:top w:val="none"/>
            <w:left w:val="none"/>
            <w:bottom w:val="none"/>
            <w:right w:val="none"/>
          </w:tcBorders>
          <w:tcMar>
            <w:top w:type="dxa" w:w="0"/>
            <w:left w:type="dxa" w:w="160"/>
            <w:bottom w:type="dxa" w:w="0"/>
            <w:right w:type="dxa" w:w="0"/>
          </w:tcMar>
          <w:vAlign w:val="center"/>
        </w:tcPr>
        <w:p>
          <w:pPr>
            <w:jc w:val="right"/>
          </w:pPr>
          <w:r>
            <w:drawing>
              <wp:inline distT="0" distB="0" distL="0" distR="0">
                <wp:extent cx="8572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tc>
    </w:tr>
  </w:tbl>
  <w:p>
    <w:pPr>
      <w:pBdr>
        <w:bottom w:val="single" w:color="1A1A1A"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d5df8f0db22d65d7c0057ce164207a24361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2026-05-27T20:34:24.145Z</dcterms:created>
  <dcterms:modified xsi:type="dcterms:W3CDTF">2026-05-27T20:34:24.157Z</dcterms:modified>
</cp:coreProperties>
</file>

<file path=docProps/custom.xml><?xml version="1.0" encoding="utf-8"?>
<Properties xmlns="http://schemas.openxmlformats.org/officeDocument/2006/custom-properties" xmlns:vt="http://schemas.openxmlformats.org/officeDocument/2006/docPropsVTypes"/>
</file>