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p>
    <w:tbl>
      <w:tblPr>
        <w:tblW w:type="dxa" w:w="9360"/>
        <w:tblBorders>
          <w:top w:val="none"/>
          <w:left w:val="none"/>
          <w:bottom w:val="none"/>
          <w:right w:val="none"/>
          <w:insideH w:val="single" w:color="auto" w:sz="4"/>
          <w:insideV w:val="single" w:color="auto" w:sz="4"/>
        </w:tblBorders>
      </w:tblPr>
      <w:tblGrid>
        <w:gridCol w:w="2700"/>
        <w:gridCol w:w="1800"/>
        <w:gridCol w:w="3060"/>
        <w:gridCol w:w="1800"/>
      </w:tblGrid>
      <w:tr>
        <w:tc>
          <w:tcPr>
            <w:tcW w:type="dxa" w:w="27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Naam</w:t>
            </w:r>
          </w:p>
          <w:p>
            <w:pPr>
              <w:pBdr>
                <w:bottom w:val="single" w:color="1A1A1A" w:sz="4"/>
              </w:pBdr>
              <w:spacing w:after="40"/>
            </w:pPr>
            <w:r>
              <w:rPr>
                <w:rFonts w:ascii="Arial" w:cs="Arial" w:eastAsia="Arial" w:hAnsi="Arial"/>
                <w:sz w:val="20"/>
                <w:szCs w:val="20"/>
              </w:rPr>
              <w:t xml:space="preserve">   </w:t>
            </w:r>
          </w:p>
        </w:tc>
        <w:tc>
          <w:tcPr>
            <w:tcW w:type="dxa" w:w="18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Datum</w:t>
            </w:r>
          </w:p>
          <w:p>
            <w:pPr>
              <w:pBdr>
                <w:bottom w:val="single" w:color="1A1A1A" w:sz="4"/>
              </w:pBdr>
              <w:spacing w:after="40"/>
            </w:pPr>
            <w:r>
              <w:rPr>
                <w:rFonts w:ascii="Arial" w:cs="Arial" w:eastAsia="Arial" w:hAnsi="Arial"/>
                <w:sz w:val="20"/>
                <w:szCs w:val="20"/>
              </w:rPr>
              <w:t xml:space="preserve">   </w:t>
            </w:r>
          </w:p>
        </w:tc>
        <w:tc>
          <w:tcPr>
            <w:tcW w:type="dxa" w:w="306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Opleiding</w:t>
            </w:r>
          </w:p>
          <w:p>
            <w:pPr>
              <w:pBdr>
                <w:bottom w:val="single" w:color="1A1A1A" w:sz="4"/>
              </w:pBdr>
              <w:spacing w:after="40"/>
            </w:pPr>
            <w:r>
              <w:rPr>
                <w:rFonts w:ascii="Arial" w:cs="Arial" w:eastAsia="Arial" w:hAnsi="Arial"/>
                <w:sz w:val="20"/>
                <w:szCs w:val="20"/>
              </w:rPr>
              <w:t xml:space="preserve">   </w:t>
            </w:r>
          </w:p>
        </w:tc>
        <w:tc>
          <w:tcPr>
            <w:tcW w:type="dxa" w:w="18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Klas / Groep</w:t>
            </w:r>
          </w:p>
          <w:p>
            <w:pPr>
              <w:pBdr>
                <w:bottom w:val="single" w:color="1A1A1A" w:sz="4"/>
              </w:pBdr>
              <w:spacing w:after="40"/>
            </w:pPr>
            <w:r>
              <w:rPr>
                <w:rFonts w:ascii="Arial" w:cs="Arial" w:eastAsia="Arial" w:hAnsi="Arial"/>
                <w:sz w:val="20"/>
                <w:szCs w:val="20"/>
              </w:rPr>
              <w:t xml:space="preserve">   </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8"/>
              <w:bottom w:val="none"/>
              <w:right w:val="none"/>
            </w:tcBorders>
            <w:shd w:fill="F4F4F4" w:val="clear"/>
            <w:tcMar>
              <w:top w:type="dxa" w:w="120"/>
              <w:left w:type="dxa" w:w="200"/>
              <w:bottom w:type="dxa" w:w="120"/>
              <w:right w:type="dxa" w:w="200"/>
            </w:tcMar>
          </w:tcPr>
          <w:p>
            <w:r>
              <w:rPr>
                <w:rFonts w:ascii="Arial" w:cs="Arial" w:eastAsia="Arial" w:hAnsi="Arial"/>
                <w:b/>
                <w:bCs/>
                <w:color w:val="1A1A1A"/>
                <w:sz w:val="26"/>
                <w:szCs w:val="26"/>
              </w:rPr>
              <w:t xml:space="preserve">De Intersectionaliteits-Audit</w:t>
            </w:r>
          </w:p>
          <w:p>
            <w:r>
              <w:rPr>
                <w:rFonts w:ascii="Arial" w:cs="Arial" w:eastAsia="Arial" w:hAnsi="Arial"/>
                <w:i/>
                <w:iCs/>
                <w:color w:val="666666"/>
                <w:sz w:val="18"/>
                <w:szCs w:val="18"/>
              </w:rPr>
              <w:t xml:space="preserve">Macht · Positie · Blinde vlekken</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1  </w:t>
            </w:r>
            <w:r>
              <w:rPr>
                <w:rFonts w:ascii="Arial" w:cs="Arial" w:eastAsia="Arial" w:hAnsi="Arial"/>
                <w:b/>
                <w:bCs/>
                <w:color w:val="FFFFFF"/>
                <w:sz w:val="22"/>
                <w:szCs w:val="22"/>
              </w:rPr>
              <w:t xml:space="preserve">Instructie</w:t>
            </w:r>
          </w:p>
        </w:tc>
      </w:tr>
    </w:tbl>
    <w:p>
      <w:pPr>
        <w:spacing w:after="120" w:before="0"/>
      </w:pPr>
    </w:p>
    <w:p>
      <w:pPr>
        <w:spacing w:after="80" w:before="80"/>
      </w:pPr>
      <w:r>
        <w:rPr>
          <w:rFonts w:ascii="Arial" w:cs="Arial" w:eastAsia="Arial" w:hAnsi="Arial"/>
          <w:i w:val="false"/>
          <w:iCs w:val="false"/>
          <w:color w:val="1A1A1A"/>
          <w:sz w:val="20"/>
          <w:szCs w:val="20"/>
        </w:rPr>
        <w:t xml:space="preserve">Dit instrument helpt je verder te kijken dan alleen de zichtbare diversiteit. Gebruik het overzicht om een beeld te krijgen van jouw positie ten opzichte van macht en privilege — en om te analyseren hoe dit doorwerkt in professionele beslissingen.</w:t>
      </w:r>
    </w:p>
    <w:p>
      <w:pPr>
        <w:spacing w:after="80" w:before="0"/>
      </w:pPr>
    </w:p>
    <w:p>
      <w:pPr>
        <w:spacing w:after="80" w:before="80"/>
      </w:pPr>
      <w:r>
        <w:rPr>
          <w:rFonts w:ascii="Arial" w:cs="Arial" w:eastAsia="Arial" w:hAnsi="Arial"/>
          <w:i w:val="false"/>
          <w:iCs w:val="false"/>
          <w:color w:val="1A1A1A"/>
          <w:sz w:val="20"/>
          <w:szCs w:val="20"/>
        </w:rPr>
        <w:t xml:space="preserve">Werkwijze:</w:t>
      </w:r>
    </w:p>
    <w:p>
      <w:pPr>
        <w:pStyle w:val="ListParagraph"/>
        <w:numPr>
          <w:ilvl w:val="0"/>
          <w:numId w:val="2"/>
        </w:numPr>
        <w:spacing w:after="40" w:before="40"/>
      </w:pPr>
      <w:r>
        <w:rPr>
          <w:rFonts w:ascii="Arial" w:cs="Arial" w:eastAsia="Arial" w:hAnsi="Arial"/>
          <w:color w:val="1A1A1A"/>
          <w:sz w:val="20"/>
          <w:szCs w:val="20"/>
        </w:rPr>
        <w:t xml:space="preserve">Kijk naar jouw eigen positie en afkomst</w:t>
      </w:r>
    </w:p>
    <w:p>
      <w:pPr>
        <w:pStyle w:val="ListParagraph"/>
        <w:numPr>
          <w:ilvl w:val="0"/>
          <w:numId w:val="2"/>
        </w:numPr>
        <w:spacing w:after="40" w:before="40"/>
      </w:pPr>
      <w:r>
        <w:rPr>
          <w:rFonts w:ascii="Arial" w:cs="Arial" w:eastAsia="Arial" w:hAnsi="Arial"/>
          <w:color w:val="1A1A1A"/>
          <w:sz w:val="20"/>
          <w:szCs w:val="20"/>
        </w:rPr>
        <w:t xml:space="preserve">Geef per as aan waar het zwaartepunt van jouw positie ligt door de betreffende kolom te omcirkelen</w:t>
      </w:r>
    </w:p>
    <w:p>
      <w:pPr>
        <w:pStyle w:val="ListParagraph"/>
        <w:numPr>
          <w:ilvl w:val="0"/>
          <w:numId w:val="2"/>
        </w:numPr>
        <w:spacing w:after="40" w:before="40"/>
      </w:pPr>
      <w:r>
        <w:rPr>
          <w:rFonts w:ascii="Arial" w:cs="Arial" w:eastAsia="Arial" w:hAnsi="Arial"/>
          <w:color w:val="1A1A1A"/>
          <w:sz w:val="20"/>
          <w:szCs w:val="20"/>
        </w:rPr>
        <w:t xml:space="preserve">Gebruik het ingevulde wiel daarna als basis voor de reflectievragen</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2  </w:t>
            </w:r>
            <w:r>
              <w:rPr>
                <w:rFonts w:ascii="Arial" w:cs="Arial" w:eastAsia="Arial" w:hAnsi="Arial"/>
                <w:b/>
                <w:bCs/>
                <w:color w:val="FFFFFF"/>
                <w:sz w:val="22"/>
                <w:szCs w:val="22"/>
              </w:rPr>
              <w:t xml:space="preserve">Het intersectionaliteitswiel</w:t>
            </w:r>
          </w:p>
        </w:tc>
      </w:tr>
    </w:tbl>
    <w:p>
      <w:pPr>
        <w:spacing w:after="120" w:before="0"/>
      </w:pPr>
    </w:p>
    <w:p>
      <w:pPr>
        <w:spacing w:after="80" w:before="80"/>
      </w:pPr>
      <w:r>
        <w:rPr>
          <w:rFonts w:ascii="Arial" w:cs="Arial" w:eastAsia="Arial" w:hAnsi="Arial"/>
          <w:i w:val="false"/>
          <w:iCs w:val="false"/>
          <w:color w:val="1A1A1A"/>
          <w:sz w:val="20"/>
          <w:szCs w:val="20"/>
        </w:rPr>
        <w:t xml:space="preserve">Noteer bij elke as jouw positie: M = Machtscentrum (dominante groep) | T = Tussenzone | R = Randzone (gemarginaliseerde groep)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BBBBBB" w:sz="4"/>
              <w:left w:val="single" w:color="BBBBBB" w:sz="4"/>
              <w:bottom w:val="single" w:color="BBBBBB" w:sz="4"/>
              <w:right w:val="single" w:color="BBBBBB" w:sz="4"/>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As / Dimensie</w:t>
            </w:r>
          </w:p>
        </w:tc>
        <w:tc>
          <w:tcPr>
            <w:tcW w:type="dxa" w:w="1920"/>
            <w:tcBorders>
              <w:top w:val="single" w:color="BBBBBB" w:sz="4"/>
              <w:left w:val="single" w:color="BBBBBB" w:sz="4"/>
              <w:bottom w:val="single" w:color="BBBBBB" w:sz="4"/>
              <w:right w:val="single" w:color="BBBBBB" w:sz="4"/>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Machtscentrum</w:t>
            </w:r>
          </w:p>
        </w:tc>
        <w:tc>
          <w:tcPr>
            <w:tcW w:type="dxa" w:w="1920"/>
            <w:tcBorders>
              <w:top w:val="single" w:color="BBBBBB" w:sz="4"/>
              <w:left w:val="single" w:color="BBBBBB" w:sz="4"/>
              <w:bottom w:val="single" w:color="BBBBBB" w:sz="4"/>
              <w:right w:val="single" w:color="BBBBBB" w:sz="4"/>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Tussenzone</w:t>
            </w:r>
          </w:p>
        </w:tc>
        <w:tc>
          <w:tcPr>
            <w:tcW w:type="dxa" w:w="1920"/>
            <w:tcBorders>
              <w:top w:val="single" w:color="BBBBBB" w:sz="4"/>
              <w:left w:val="single" w:color="BBBBBB" w:sz="4"/>
              <w:bottom w:val="single" w:color="BBBBBB" w:sz="4"/>
              <w:right w:val="single" w:color="BBBBBB" w:sz="4"/>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Randzone</w:t>
            </w:r>
          </w:p>
        </w:tc>
      </w:tr>
      <w:tr>
        <w:tc>
          <w:tcPr>
            <w:tcW w:type="dxa" w:w="360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rFonts w:ascii="Arial" w:cs="Arial" w:eastAsia="Arial" w:hAnsi="Arial"/>
                <w:b/>
                <w:bCs/>
                <w:color w:val="1A1A1A"/>
                <w:sz w:val="19"/>
                <w:szCs w:val="19"/>
              </w:rPr>
              <w:t xml:space="preserve">Geslacht</w:t>
            </w:r>
          </w:p>
        </w:tc>
        <w:tc>
          <w:tcPr>
            <w:tcW w:type="dxa" w:w="192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rFonts w:ascii="Arial" w:cs="Arial" w:eastAsia="Arial" w:hAnsi="Arial"/>
                <w:color w:val="1A1A1A"/>
                <w:sz w:val="19"/>
                <w:szCs w:val="19"/>
              </w:rPr>
              <w:t xml:space="preserve">Man / Cis</w:t>
            </w:r>
          </w:p>
        </w:tc>
        <w:tc>
          <w:tcPr>
            <w:tcW w:type="dxa" w:w="192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rFonts w:ascii="Arial" w:cs="Arial" w:eastAsia="Arial" w:hAnsi="Arial"/>
                <w:color w:val="1A1A1A"/>
                <w:sz w:val="19"/>
                <w:szCs w:val="19"/>
              </w:rPr>
              <w:t xml:space="preserve">Non-binair</w:t>
            </w:r>
          </w:p>
        </w:tc>
        <w:tc>
          <w:tcPr>
            <w:tcW w:type="dxa" w:w="192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rFonts w:ascii="Arial" w:cs="Arial" w:eastAsia="Arial" w:hAnsi="Arial"/>
                <w:color w:val="1A1A1A"/>
                <w:sz w:val="19"/>
                <w:szCs w:val="19"/>
              </w:rPr>
              <w:t xml:space="preserve">Vrouw / Trans</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Etniciteit</w:t>
            </w:r>
          </w:p>
        </w:tc>
        <w:tc>
          <w:tcPr>
            <w:tcW w:type="dxa" w:w="19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1A1A1A"/>
                <w:sz w:val="19"/>
                <w:szCs w:val="19"/>
              </w:rPr>
              <w:t xml:space="preserve">Wit / Westers</w:t>
            </w:r>
          </w:p>
        </w:tc>
        <w:tc>
          <w:tcPr>
            <w:tcW w:type="dxa" w:w="19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1A1A1A"/>
                <w:sz w:val="19"/>
                <w:szCs w:val="19"/>
              </w:rPr>
              <w:t xml:space="preserve">Gemengd</w:t>
            </w:r>
          </w:p>
        </w:tc>
        <w:tc>
          <w:tcPr>
            <w:tcW w:type="dxa" w:w="19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1A1A1A"/>
                <w:sz w:val="19"/>
                <w:szCs w:val="19"/>
              </w:rPr>
              <w:t xml:space="preserve">Niet-westers</w:t>
            </w:r>
          </w:p>
        </w:tc>
      </w:tr>
      <w:tr>
        <w:tc>
          <w:tcPr>
            <w:tcW w:type="dxa" w:w="360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rFonts w:ascii="Arial" w:cs="Arial" w:eastAsia="Arial" w:hAnsi="Arial"/>
                <w:b/>
                <w:bCs/>
                <w:color w:val="1A1A1A"/>
                <w:sz w:val="19"/>
                <w:szCs w:val="19"/>
              </w:rPr>
              <w:t xml:space="preserve">Sociaaleconomische klasse</w:t>
            </w:r>
          </w:p>
        </w:tc>
        <w:tc>
          <w:tcPr>
            <w:tcW w:type="dxa" w:w="192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rFonts w:ascii="Arial" w:cs="Arial" w:eastAsia="Arial" w:hAnsi="Arial"/>
                <w:color w:val="1A1A1A"/>
                <w:sz w:val="19"/>
                <w:szCs w:val="19"/>
              </w:rPr>
              <w:t xml:space="preserve">Hoog</w:t>
            </w:r>
          </w:p>
        </w:tc>
        <w:tc>
          <w:tcPr>
            <w:tcW w:type="dxa" w:w="192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rFonts w:ascii="Arial" w:cs="Arial" w:eastAsia="Arial" w:hAnsi="Arial"/>
                <w:color w:val="1A1A1A"/>
                <w:sz w:val="19"/>
                <w:szCs w:val="19"/>
              </w:rPr>
              <w:t xml:space="preserve">Midden</w:t>
            </w:r>
          </w:p>
        </w:tc>
        <w:tc>
          <w:tcPr>
            <w:tcW w:type="dxa" w:w="192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rFonts w:ascii="Arial" w:cs="Arial" w:eastAsia="Arial" w:hAnsi="Arial"/>
                <w:color w:val="1A1A1A"/>
                <w:sz w:val="19"/>
                <w:szCs w:val="19"/>
              </w:rPr>
              <w:t xml:space="preserve">Laag / Arm</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Opleiding</w:t>
            </w:r>
          </w:p>
        </w:tc>
        <w:tc>
          <w:tcPr>
            <w:tcW w:type="dxa" w:w="19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1A1A1A"/>
                <w:sz w:val="19"/>
                <w:szCs w:val="19"/>
              </w:rPr>
              <w:t xml:space="preserve">Academisch</w:t>
            </w:r>
          </w:p>
        </w:tc>
        <w:tc>
          <w:tcPr>
            <w:tcW w:type="dxa" w:w="19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1A1A1A"/>
                <w:sz w:val="19"/>
                <w:szCs w:val="19"/>
              </w:rPr>
              <w:t xml:space="preserve">HBO</w:t>
            </w:r>
          </w:p>
        </w:tc>
        <w:tc>
          <w:tcPr>
            <w:tcW w:type="dxa" w:w="19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1A1A1A"/>
                <w:sz w:val="19"/>
                <w:szCs w:val="19"/>
              </w:rPr>
              <w:t xml:space="preserve">MBO of lager</w:t>
            </w:r>
          </w:p>
        </w:tc>
      </w:tr>
      <w:tr>
        <w:tc>
          <w:tcPr>
            <w:tcW w:type="dxa" w:w="360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rFonts w:ascii="Arial" w:cs="Arial" w:eastAsia="Arial" w:hAnsi="Arial"/>
                <w:b/>
                <w:bCs/>
                <w:color w:val="1A1A1A"/>
                <w:sz w:val="19"/>
                <w:szCs w:val="19"/>
              </w:rPr>
              <w:t xml:space="preserve">Religie / Levensbeschouwing</w:t>
            </w:r>
          </w:p>
        </w:tc>
        <w:tc>
          <w:tcPr>
            <w:tcW w:type="dxa" w:w="192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rFonts w:ascii="Arial" w:cs="Arial" w:eastAsia="Arial" w:hAnsi="Arial"/>
                <w:color w:val="1A1A1A"/>
                <w:sz w:val="19"/>
                <w:szCs w:val="19"/>
              </w:rPr>
              <w:t xml:space="preserve">Geseculariseerd</w:t>
            </w:r>
          </w:p>
        </w:tc>
        <w:tc>
          <w:tcPr>
            <w:tcW w:type="dxa" w:w="192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rFonts w:ascii="Arial" w:cs="Arial" w:eastAsia="Arial" w:hAnsi="Arial"/>
                <w:color w:val="1A1A1A"/>
                <w:sz w:val="19"/>
                <w:szCs w:val="19"/>
              </w:rPr>
              <w:t xml:space="preserve">Gemengd</w:t>
            </w:r>
          </w:p>
        </w:tc>
        <w:tc>
          <w:tcPr>
            <w:tcW w:type="dxa" w:w="192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rFonts w:ascii="Arial" w:cs="Arial" w:eastAsia="Arial" w:hAnsi="Arial"/>
                <w:color w:val="1A1A1A"/>
                <w:sz w:val="19"/>
                <w:szCs w:val="19"/>
              </w:rPr>
              <w:t xml:space="preserve">Gelovig (minderheid)</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Seksualiteit</w:t>
            </w:r>
          </w:p>
        </w:tc>
        <w:tc>
          <w:tcPr>
            <w:tcW w:type="dxa" w:w="19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1A1A1A"/>
                <w:sz w:val="19"/>
                <w:szCs w:val="19"/>
              </w:rPr>
              <w:t xml:space="preserve">Hetero</w:t>
            </w:r>
          </w:p>
        </w:tc>
        <w:tc>
          <w:tcPr>
            <w:tcW w:type="dxa" w:w="19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1A1A1A"/>
                <w:sz w:val="19"/>
                <w:szCs w:val="19"/>
              </w:rPr>
              <w:t xml:space="preserve">Biseksueel</w:t>
            </w:r>
          </w:p>
        </w:tc>
        <w:tc>
          <w:tcPr>
            <w:tcW w:type="dxa" w:w="19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1A1A1A"/>
                <w:sz w:val="19"/>
                <w:szCs w:val="19"/>
              </w:rPr>
              <w:t xml:space="preserve">LHBTQ+</w:t>
            </w:r>
          </w:p>
        </w:tc>
      </w:tr>
      <w:tr>
        <w:tc>
          <w:tcPr>
            <w:tcW w:type="dxa" w:w="360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rFonts w:ascii="Arial" w:cs="Arial" w:eastAsia="Arial" w:hAnsi="Arial"/>
                <w:b/>
                <w:bCs/>
                <w:color w:val="1A1A1A"/>
                <w:sz w:val="19"/>
                <w:szCs w:val="19"/>
              </w:rPr>
              <w:t xml:space="preserve">Lichamelijke mogelijkheden</w:t>
            </w:r>
          </w:p>
        </w:tc>
        <w:tc>
          <w:tcPr>
            <w:tcW w:type="dxa" w:w="192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rFonts w:ascii="Arial" w:cs="Arial" w:eastAsia="Arial" w:hAnsi="Arial"/>
                <w:color w:val="1A1A1A"/>
                <w:sz w:val="19"/>
                <w:szCs w:val="19"/>
              </w:rPr>
              <w:t xml:space="preserve">Geen beperking</w:t>
            </w:r>
          </w:p>
        </w:tc>
        <w:tc>
          <w:tcPr>
            <w:tcW w:type="dxa" w:w="192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rFonts w:ascii="Arial" w:cs="Arial" w:eastAsia="Arial" w:hAnsi="Arial"/>
                <w:color w:val="1A1A1A"/>
                <w:sz w:val="19"/>
                <w:szCs w:val="19"/>
              </w:rPr>
              <w:t xml:space="preserve">Lichte beperking</w:t>
            </w:r>
          </w:p>
        </w:tc>
        <w:tc>
          <w:tcPr>
            <w:tcW w:type="dxa" w:w="192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rFonts w:ascii="Arial" w:cs="Arial" w:eastAsia="Arial" w:hAnsi="Arial"/>
                <w:color w:val="1A1A1A"/>
                <w:sz w:val="19"/>
                <w:szCs w:val="19"/>
              </w:rPr>
              <w:t xml:space="preserve">Chronisch / Handicap</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Leeftijd</w:t>
            </w:r>
          </w:p>
        </w:tc>
        <w:tc>
          <w:tcPr>
            <w:tcW w:type="dxa" w:w="19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1A1A1A"/>
                <w:sz w:val="19"/>
                <w:szCs w:val="19"/>
              </w:rPr>
              <w:t xml:space="preserve">30–55 (dominant)</w:t>
            </w:r>
          </w:p>
        </w:tc>
        <w:tc>
          <w:tcPr>
            <w:tcW w:type="dxa" w:w="19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1A1A1A"/>
                <w:sz w:val="19"/>
                <w:szCs w:val="19"/>
              </w:rPr>
              <w:t xml:space="preserve">Jong volwassen</w:t>
            </w:r>
          </w:p>
        </w:tc>
        <w:tc>
          <w:tcPr>
            <w:tcW w:type="dxa" w:w="19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1A1A1A"/>
                <w:sz w:val="19"/>
                <w:szCs w:val="19"/>
              </w:rPr>
              <w:t xml:space="preserve">Zeer jong / Oud</w:t>
            </w:r>
          </w:p>
        </w:tc>
      </w:tr>
      <w:tr>
        <w:tc>
          <w:tcPr>
            <w:tcW w:type="dxa" w:w="3600"/>
            <w:tcBorders>
              <w:top w:val="single" w:color="BBBBBB" w:sz="4"/>
              <w:left w:val="single" w:color="BBBBBB" w:sz="4"/>
              <w:bottom w:val="single" w:color="BBBBBB" w:sz="4"/>
              <w:right w:val="single" w:color="BBBBBB" w:sz="4"/>
            </w:tcBorders>
            <w:shd w:fill="F8F8F8" w:val="clear"/>
            <w:tcMar>
              <w:top w:type="dxa" w:w="80"/>
              <w:left w:type="dxa" w:w="120"/>
              <w:bottom w:type="dxa" w:w="80"/>
              <w:right w:type="dxa" w:w="120"/>
            </w:tcMar>
          </w:tcPr>
          <w:p>
            <w:r>
              <w:rPr>
                <w:rFonts w:ascii="Arial" w:cs="Arial" w:eastAsia="Arial" w:hAnsi="Arial"/>
                <w:b/>
                <w:bCs/>
                <w:color w:val="1A1A1A"/>
                <w:sz w:val="19"/>
                <w:szCs w:val="19"/>
              </w:rPr>
              <w:t xml:space="preserve">Neurodiversiteit</w:t>
            </w:r>
          </w:p>
        </w:tc>
        <w:tc>
          <w:tcPr>
            <w:tcW w:type="dxa" w:w="192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rFonts w:ascii="Arial" w:cs="Arial" w:eastAsia="Arial" w:hAnsi="Arial"/>
                <w:color w:val="1A1A1A"/>
                <w:sz w:val="19"/>
                <w:szCs w:val="19"/>
              </w:rPr>
              <w:t xml:space="preserve">Neurotypisch</w:t>
            </w:r>
          </w:p>
        </w:tc>
        <w:tc>
          <w:tcPr>
            <w:tcW w:type="dxa" w:w="192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rFonts w:ascii="Arial" w:cs="Arial" w:eastAsia="Arial" w:hAnsi="Arial"/>
                <w:color w:val="1A1A1A"/>
                <w:sz w:val="19"/>
                <w:szCs w:val="19"/>
              </w:rPr>
              <w:t xml:space="preserve">Wisselend</w:t>
            </w:r>
          </w:p>
        </w:tc>
        <w:tc>
          <w:tcPr>
            <w:tcW w:type="dxa" w:w="192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rFonts w:ascii="Arial" w:cs="Arial" w:eastAsia="Arial" w:hAnsi="Arial"/>
                <w:color w:val="1A1A1A"/>
                <w:sz w:val="19"/>
                <w:szCs w:val="19"/>
              </w:rPr>
              <w:t xml:space="preserve">Neurodivers (ADHD etc.)</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Nationaliteit / Verblijfsstatus</w:t>
            </w:r>
          </w:p>
        </w:tc>
        <w:tc>
          <w:tcPr>
            <w:tcW w:type="dxa" w:w="19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1A1A1A"/>
                <w:sz w:val="19"/>
                <w:szCs w:val="19"/>
              </w:rPr>
              <w:t xml:space="preserve">NL geboren</w:t>
            </w:r>
          </w:p>
        </w:tc>
        <w:tc>
          <w:tcPr>
            <w:tcW w:type="dxa" w:w="19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1A1A1A"/>
                <w:sz w:val="19"/>
                <w:szCs w:val="19"/>
              </w:rPr>
              <w:t xml:space="preserve">EU-burger</w:t>
            </w:r>
          </w:p>
        </w:tc>
        <w:tc>
          <w:tcPr>
            <w:tcW w:type="dxa" w:w="19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Arial" w:cs="Arial" w:eastAsia="Arial" w:hAnsi="Arial"/>
                <w:color w:val="1A1A1A"/>
                <w:sz w:val="19"/>
                <w:szCs w:val="19"/>
              </w:rPr>
              <w:t xml:space="preserve">Migrant / Vluchteling</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3  </w:t>
            </w:r>
            <w:r>
              <w:rPr>
                <w:rFonts w:ascii="Arial" w:cs="Arial" w:eastAsia="Arial" w:hAnsi="Arial"/>
                <w:b/>
                <w:bCs/>
                <w:color w:val="FFFFFF"/>
                <w:sz w:val="22"/>
                <w:szCs w:val="22"/>
              </w:rPr>
              <w:t xml:space="preserve">Reflectievragen</w:t>
            </w:r>
          </w:p>
        </w:tc>
      </w:tr>
    </w:tbl>
    <w:p>
      <w:pPr>
        <w:spacing w:after="80" w:before="0"/>
      </w:pP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R1</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De dominante groep</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Welke 3 tot 5 assen vallen het meest op in het Machtscentrum? In hoeverre voldoe jij aan deze criteria? Wat geeft je dat aan voordelen die je misschien niet altijd ziet?</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R2</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Blinde vlekken</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Op welke assen zie je totaal geen bezetting in de Randzone? Welke ervaringen of perspectieven zijn daardoor mogelijk buiten uw blikveld?</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R3</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Casus — de promotie van Samira</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Gebruik het wiel om de casus te analyseren: Vul de tabel in voor zowel Mark als Samira. Welke "vinkjes" heeft Mark die Samira mist? Is "culturele fit" een objectief criterium of een vorm van uitsluiting?</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R4</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HR-interventie</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Schrijf de reactie die jij als HR-professional in het MT-overleg zou geven om de blinde vlekken bespreekbaar te maken. Wees concreet: wat zeg je, hoe, en wat wil je bereiken?</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BBBBBB" w:sz="4"/>
              <w:left w:val="none"/>
              <w:bottom w:val="single" w:color="BBBBBB" w:sz="4"/>
              <w:right w:val="none"/>
            </w:tcBorders>
            <w:shd w:fill="F0F0F0" w:val="clear"/>
            <w:tcMar>
              <w:top w:type="dxa" w:w="120"/>
              <w:left w:type="dxa" w:w="200"/>
              <w:bottom w:type="dxa" w:w="120"/>
              <w:right w:type="dxa" w:w="200"/>
            </w:tcMar>
          </w:tcPr>
          <w:p>
            <w:r>
              <w:rPr>
                <w:rFonts w:ascii="Arial" w:cs="Arial" w:eastAsia="Arial" w:hAnsi="Arial"/>
                <w:b/>
                <w:bCs/>
                <w:color w:val="666666"/>
                <w:sz w:val="18"/>
                <w:szCs w:val="18"/>
              </w:rPr>
              <w:t xml:space="preserve">Notitie voor de docent</w:t>
            </w:r>
          </w:p>
          <w:p>
            <w:pPr>
              <w:spacing w:after="60" w:before="0"/>
            </w:pPr>
          </w:p>
          <w:p>
            <w:r>
              <w:rPr>
                <w:rFonts w:ascii="Arial" w:cs="Arial" w:eastAsia="Arial" w:hAnsi="Arial"/>
                <w:i/>
                <w:iCs/>
                <w:color w:val="666666"/>
                <w:sz w:val="18"/>
                <w:szCs w:val="18"/>
              </w:rPr>
              <w:t xml:space="preserve">De intersectionaliteits-audit kan confronterend zijn voor studenten die zich voor het eerst bewust worden van hun eigen privilege. Normaliseer dat bewustzijn geen schuld betekent. Het gaat om het vergroten van het handelingsrepertoire als professional.</w:t>
            </w:r>
          </w:p>
        </w:tc>
      </w:tr>
    </w:tbl>
    <w:p>
      <w:pPr>
        <w:spacing w:after="120" w:before="0"/>
      </w:pPr>
    </w:p>
    <w:p>
      <w:pPr>
        <w:spacing w:after="100" w:before="0"/>
      </w:pPr>
    </w:p>
    <w:p>
      <w:pPr>
        <w:jc w:val="center"/>
      </w:pPr>
      <w:r>
        <w:rPr>
          <w:rFonts w:ascii="Arial" w:cs="Arial" w:eastAsia="Arial" w:hAnsi="Arial"/>
          <w:color w:val="BBBBBB"/>
          <w:sz w:val="16"/>
          <w:szCs w:val="16"/>
        </w:rPr>
        <w:t xml:space="preserve">© Fontys Hogescholen — Lectoraat Ethisch Werken — Reeks Moreel Vakmanschap</w:t>
      </w:r>
    </w:p>
    <w:sectPr>
      <w:headerReference w:type="default" r:id="rId7"/>
      <w:footerReference w:type="default" r:id="rId8"/>
      <w:pgSz w:w="11906" w:h="16838" w:orient="portrait"/>
      <w:pgMar w:top="16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360"/>
      </w:tabs>
      <w:spacing w:before="80"/>
    </w:pPr>
    <w:r>
      <w:rPr>
        <w:rFonts w:ascii="Arial" w:cs="Arial" w:eastAsia="Arial" w:hAnsi="Arial"/>
        <w:color w:val="666666"/>
        <w:sz w:val="16"/>
        <w:szCs w:val="16"/>
      </w:rPr>
      <w:t xml:space="preserve">Moreel Vakmanschap — De Intersectionaliteits-Audit</w:t>
    </w:r>
    <w:r>
      <w:rPr>
        <w:rFonts w:ascii="Arial" w:cs="Arial" w:eastAsia="Arial" w:hAnsi="Arial"/>
        <w:color w:val="BBBBBB"/>
        <w:sz w:val="16"/>
        <w:szCs w:val="16"/>
      </w:rPr>
      <w:t xml:space="preserve">	© Fontys Lectoraat Ethisch Werken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2100"/>
      <w:gridCol w:w="5560"/>
      <w:gridCol w:w="1700"/>
    </w:tblGrid>
    <w:tr>
      <w:tc>
        <w:tcPr>
          <w:tcW w:type="dxa" w:w="2100"/>
          <w:tcBorders>
            <w:top w:val="none"/>
            <w:left w:val="none"/>
            <w:bottom w:val="none"/>
            <w:right w:val="none"/>
          </w:tcBorders>
          <w:tcMar>
            <w:top w:type="dxa" w:w="0"/>
            <w:left w:type="dxa" w:w="0"/>
            <w:bottom w:type="dxa" w:w="0"/>
            <w:right w:type="dxa" w:w="160"/>
          </w:tcMar>
          <w:vAlign w:val="center"/>
        </w:tcPr>
        <w:p>
          <w:r>
            <w:rPr>
              <w:rFonts w:ascii="Arial" w:cs="Arial" w:eastAsia="Arial" w:hAnsi="Arial"/>
              <w:color w:val="666666"/>
              <w:sz w:val="16"/>
              <w:szCs w:val="16"/>
            </w:rPr>
            <w:t xml:space="preserve">Fontys Lectoraat</w:t>
          </w:r>
        </w:p>
        <w:p>
          <w:r>
            <w:rPr>
              <w:rFonts w:ascii="Arial" w:cs="Arial" w:eastAsia="Arial" w:hAnsi="Arial"/>
              <w:b/>
              <w:bCs/>
              <w:color w:val="1A1A1A"/>
              <w:sz w:val="16"/>
              <w:szCs w:val="16"/>
            </w:rPr>
            <w:t xml:space="preserve">Ethisch Werken</w:t>
          </w:r>
        </w:p>
      </w:tc>
      <w:tc>
        <w:tcPr>
          <w:tcW w:type="dxa" w:w="5560"/>
          <w:tcBorders>
            <w:top w:val="none"/>
            <w:left w:val="none"/>
            <w:bottom w:val="none"/>
            <w:right w:val="single" w:color="1A1A1A" w:sz="8"/>
          </w:tcBorders>
          <w:tcMar>
            <w:top w:type="dxa" w:w="0"/>
            <w:left w:type="dxa" w:w="160"/>
            <w:bottom w:type="dxa" w:w="0"/>
            <w:right w:type="dxa" w:w="160"/>
          </w:tcMar>
          <w:vAlign w:val="center"/>
        </w:tcPr>
        <w:p>
          <w:pPr>
            <w:jc w:val="right"/>
          </w:pPr>
          <w:r>
            <w:rPr>
              <w:rFonts w:ascii="Arial" w:cs="Arial" w:eastAsia="Arial" w:hAnsi="Arial"/>
              <w:b/>
              <w:bCs/>
              <w:color w:val="1A1A1A"/>
              <w:sz w:val="22"/>
              <w:szCs w:val="22"/>
            </w:rPr>
            <w:t xml:space="preserve">De Intersectionaliteits-Audit</w:t>
          </w:r>
        </w:p>
        <w:p>
          <w:pPr>
            <w:jc w:val="right"/>
          </w:pPr>
          <w:r>
            <w:rPr>
              <w:rFonts w:ascii="Arial" w:cs="Arial" w:eastAsia="Arial" w:hAnsi="Arial"/>
              <w:color w:val="666666"/>
              <w:sz w:val="18"/>
              <w:szCs w:val="18"/>
            </w:rPr>
            <w:t xml:space="preserve">Moreel Vakmanschap</w:t>
          </w:r>
        </w:p>
      </w:tc>
      <w:tc>
        <w:tcPr>
          <w:tcW w:type="dxa" w:w="1700"/>
          <w:tcBorders>
            <w:top w:val="none"/>
            <w:left w:val="none"/>
            <w:bottom w:val="none"/>
            <w:right w:val="none"/>
          </w:tcBorders>
          <w:tcMar>
            <w:top w:type="dxa" w:w="0"/>
            <w:left w:type="dxa" w:w="160"/>
            <w:bottom w:type="dxa" w:w="0"/>
            <w:right w:type="dxa" w:w="0"/>
          </w:tcMar>
          <w:vAlign w:val="center"/>
        </w:tcPr>
        <w:p>
          <w:pPr>
            <w:jc w:val="right"/>
          </w:pPr>
          <w:r>
            <w:drawing>
              <wp:inline distT="0" distB="0" distL="0" distR="0">
                <wp:extent cx="8572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85775"/>
                        </a:xfrm>
                        <a:prstGeom prst="rect">
                          <a:avLst/>
                        </a:prstGeom>
                      </pic:spPr>
                    </pic:pic>
                  </a:graphicData>
                </a:graphic>
              </wp:inline>
            </w:drawing>
          </w:r>
        </w:p>
      </w:tc>
    </w:tr>
  </w:tbl>
  <w:p>
    <w:pPr>
      <w:pBdr>
        <w:bottom w:val="single" w:color="1A1A1A" w:sz="12" w:space="1"/>
      </w:pBd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01d5df8f0db22d65d7c0057ce164207a243613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2026-05-27T20:39:57.640Z</dcterms:created>
  <dcterms:modified xsi:type="dcterms:W3CDTF">2026-05-27T20:39:57.640Z</dcterms:modified>
</cp:coreProperties>
</file>

<file path=docProps/custom.xml><?xml version="1.0" encoding="utf-8"?>
<Properties xmlns="http://schemas.openxmlformats.org/officeDocument/2006/custom-properties" xmlns:vt="http://schemas.openxmlformats.org/officeDocument/2006/docPropsVTypes"/>
</file>