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Fontys
Research Group on
Ethical Practice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The Transcultural Genogram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CDDEE"/>
                <w:sz w:val="18"/>
                <w:szCs w:val="18"/>
              </w:rPr>
              <w:t xml:space="preserve">Moral Craftsmanship Series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Programme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Class / Group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Family Lines  ·  Patterns  ·  Collective Memory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is a Transcultural Genogram?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 genogram is more than a family tree: it is a visual map of loyalties, patterns, pain and support structures across at least three generations. In a transcultural context it helps make the "we-system" and the influence of migration visible.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Symbols and Structure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Standard symbols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Square: male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Circle: female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Double line (around circle/square): the central person (yourself or the client)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Cross (X): deceased — note year if known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 + Year: moment of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Row of children: always from left (oldest) to right (youngest)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Transcultural deepening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In addition to names and dates, also map the following elements: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Phase transitions: migration, serious illness, experiences of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Dominant beliefs: which values are sacred? Who conforms, who resists?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Authority figures: who makes the decisions? (mark with colour)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Support figures: who can people turn to for emotional or practical help? (mark with colour)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Pain and loss: where in the genogram does unprocessed pain sit? How has the family dealt with it?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Drawing Assignment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Draw your genogram below covering at least three generations. Use the symbols from section 2. Add colours for support figures (yellow) and authority figures (red).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Draw your genogram here (minimum three generations)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Reflection Questions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Use the genogram as an instrument for self-reflection or in dialogue with another.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Recognition of patterns
What role you play in your family do you recognise in your current way of working or leading? Give a concrete example.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Embedded in the system
How are you embedded in the support structure of your family? Is there a collective "we-system"? What does that mean for your professional autonomy?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stranger and the other
What strategies has your family developed for engaging in dialogue with the outside world? How does this influence your approach to clients or colleagues with a different background?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Note for the teacher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f5e5a"/>
                <w:sz w:val="18"/>
                <w:szCs w:val="18"/>
              </w:rPr>
              <w:t xml:space="preserve">The genogram touches on sensitive family dynamics. Students decide for themselves how much they share. Encourage analytical depth over completeness. The drawing assignment may also be schematic — what matters is the insight, not the drawing skill.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5e5a"/>
                <w:sz w:val="16"/>
                <w:szCs w:val="16"/>
              </w:rPr>
              <w:t xml:space="preserve">© Fontys University of Applied Sciences — Research Group on Ethical Practice — Moral Craftsmanship Series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2026-06-10T07:57:40.500Z</dcterms:created>
  <dcterms:modified xsi:type="dcterms:W3CDTF">2026-06-10T07:57:40.500Z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